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86" w:type="dxa"/>
        <w:tblInd w:w="-142" w:type="dxa"/>
        <w:tblLayout w:type="fixed"/>
        <w:tblLook w:val="01E0" w:firstRow="1" w:lastRow="1" w:firstColumn="1" w:lastColumn="1" w:noHBand="0" w:noVBand="0"/>
      </w:tblPr>
      <w:tblGrid>
        <w:gridCol w:w="6703"/>
        <w:gridCol w:w="7783"/>
      </w:tblGrid>
      <w:tr w:rsidR="002B03E4" w:rsidRPr="00831D26" w14:paraId="17E59890" w14:textId="77777777" w:rsidTr="00B77C7A">
        <w:trPr>
          <w:trHeight w:val="420"/>
        </w:trPr>
        <w:tc>
          <w:tcPr>
            <w:tcW w:w="6703" w:type="dxa"/>
            <w:vAlign w:val="center"/>
          </w:tcPr>
          <w:p w14:paraId="64EC3513" w14:textId="77777777" w:rsidR="002B03E4" w:rsidRPr="00B72531" w:rsidRDefault="002B03E4" w:rsidP="00B77C7A">
            <w:pPr>
              <w:widowControl w:val="0"/>
              <w:jc w:val="center"/>
              <w:rPr>
                <w:color w:val="000000"/>
              </w:rPr>
            </w:pPr>
            <w:r w:rsidRPr="00B72531">
              <w:rPr>
                <w:color w:val="000000"/>
              </w:rPr>
              <w:t xml:space="preserve">UBND </w:t>
            </w:r>
            <w:r>
              <w:rPr>
                <w:color w:val="000000"/>
              </w:rPr>
              <w:t>TỈNH NGHỆ AN</w:t>
            </w:r>
          </w:p>
          <w:p w14:paraId="54BD0353" w14:textId="77777777" w:rsidR="002B03E4" w:rsidRPr="00B72531" w:rsidRDefault="002B03E4" w:rsidP="00B77C7A">
            <w:pPr>
              <w:widowControl w:val="0"/>
              <w:jc w:val="center"/>
              <w:rPr>
                <w:color w:val="000000"/>
              </w:rPr>
            </w:pPr>
            <w:r>
              <w:rPr>
                <w:b/>
                <w:color w:val="000000"/>
                <w:spacing w:val="-8"/>
                <w:sz w:val="25"/>
                <w:szCs w:val="25"/>
              </w:rPr>
              <w:t>SỞ TƯ PHÁP</w:t>
            </w:r>
          </w:p>
        </w:tc>
        <w:tc>
          <w:tcPr>
            <w:tcW w:w="7783" w:type="dxa"/>
            <w:vAlign w:val="center"/>
          </w:tcPr>
          <w:p w14:paraId="723576CB" w14:textId="77777777" w:rsidR="002B03E4" w:rsidRPr="00B72531" w:rsidRDefault="002B03E4" w:rsidP="00B77C7A">
            <w:pPr>
              <w:widowControl w:val="0"/>
              <w:jc w:val="center"/>
              <w:rPr>
                <w:b/>
                <w:color w:val="000000"/>
                <w:spacing w:val="-12"/>
                <w:sz w:val="24"/>
              </w:rPr>
            </w:pPr>
            <w:r w:rsidRPr="00B72531">
              <w:rPr>
                <w:b/>
                <w:color w:val="000000"/>
                <w:spacing w:val="-12"/>
                <w:sz w:val="24"/>
              </w:rPr>
              <w:t>CỘNG HÒA XÃ HỘI CHỦ NGHĨA VIỆT NAM</w:t>
            </w:r>
          </w:p>
          <w:p w14:paraId="081B3C51" w14:textId="77777777" w:rsidR="002B03E4" w:rsidRPr="00B72531" w:rsidRDefault="002B03E4" w:rsidP="00B77C7A">
            <w:pPr>
              <w:widowControl w:val="0"/>
              <w:jc w:val="center"/>
              <w:rPr>
                <w:b/>
                <w:color w:val="000000"/>
                <w:spacing w:val="-12"/>
              </w:rPr>
            </w:pPr>
            <w:r w:rsidRPr="00B72531">
              <w:rPr>
                <w:b/>
                <w:color w:val="000000"/>
                <w:sz w:val="27"/>
                <w:szCs w:val="27"/>
              </w:rPr>
              <w:t>Độc lập - Tự do - Hạnh phúc</w:t>
            </w:r>
          </w:p>
        </w:tc>
      </w:tr>
      <w:tr w:rsidR="002B03E4" w:rsidRPr="00831D26" w14:paraId="29189C0B" w14:textId="77777777" w:rsidTr="00B77C7A">
        <w:trPr>
          <w:trHeight w:val="432"/>
        </w:trPr>
        <w:tc>
          <w:tcPr>
            <w:tcW w:w="6703" w:type="dxa"/>
          </w:tcPr>
          <w:p w14:paraId="5E1A9B6F" w14:textId="77777777" w:rsidR="002B03E4" w:rsidRPr="00B72531" w:rsidRDefault="002B03E4" w:rsidP="00B77C7A">
            <w:pPr>
              <w:widowControl w:val="0"/>
              <w:ind w:right="-144"/>
              <w:rPr>
                <w:color w:val="000000"/>
                <w:sz w:val="10"/>
                <w:szCs w:val="10"/>
              </w:rPr>
            </w:pPr>
            <w:r>
              <w:rPr>
                <w:noProof/>
              </w:rPr>
              <mc:AlternateContent>
                <mc:Choice Requires="wps">
                  <w:drawing>
                    <wp:anchor distT="4294967294" distB="4294967294" distL="114300" distR="114300" simplePos="0" relativeHeight="251660288" behindDoc="0" locked="0" layoutInCell="1" allowOverlap="1" wp14:anchorId="35BC6F0A" wp14:editId="18FCAF2C">
                      <wp:simplePos x="0" y="0"/>
                      <wp:positionH relativeFrom="column">
                        <wp:posOffset>1789430</wp:posOffset>
                      </wp:positionH>
                      <wp:positionV relativeFrom="paragraph">
                        <wp:posOffset>37464</wp:posOffset>
                      </wp:positionV>
                      <wp:extent cx="558800" cy="0"/>
                      <wp:effectExtent l="0" t="0" r="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D7310A"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0.9pt,2.95pt" to="184.9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"/>
                  </w:pict>
                </mc:Fallback>
              </mc:AlternateContent>
            </w:r>
          </w:p>
          <w:p w14:paraId="3DC9EA55" w14:textId="77777777" w:rsidR="002B03E4" w:rsidRPr="00B72531" w:rsidRDefault="002B03E4" w:rsidP="00B77C7A">
            <w:pPr>
              <w:widowControl w:val="0"/>
              <w:ind w:left="74"/>
              <w:jc w:val="both"/>
              <w:rPr>
                <w:b/>
                <w:color w:val="000000"/>
              </w:rPr>
            </w:pPr>
          </w:p>
          <w:p w14:paraId="062FA622" w14:textId="77777777" w:rsidR="002B03E4" w:rsidRPr="00B72531" w:rsidRDefault="002B03E4" w:rsidP="00B77C7A">
            <w:pPr>
              <w:widowControl w:val="0"/>
              <w:ind w:left="74"/>
              <w:jc w:val="both"/>
              <w:rPr>
                <w:b/>
                <w:color w:val="000000"/>
                <w:sz w:val="18"/>
              </w:rPr>
            </w:pPr>
          </w:p>
        </w:tc>
        <w:tc>
          <w:tcPr>
            <w:tcW w:w="7783" w:type="dxa"/>
          </w:tcPr>
          <w:p w14:paraId="6D05255D" w14:textId="77777777" w:rsidR="002B03E4" w:rsidRPr="00B72531" w:rsidRDefault="002B03E4" w:rsidP="00B77C7A">
            <w:pPr>
              <w:widowControl w:val="0"/>
              <w:rPr>
                <w:i/>
                <w:color w:val="000000"/>
                <w:sz w:val="10"/>
                <w:szCs w:val="10"/>
              </w:rPr>
            </w:pPr>
            <w:r>
              <w:rPr>
                <w:noProof/>
              </w:rPr>
              <mc:AlternateContent>
                <mc:Choice Requires="wps">
                  <w:drawing>
                    <wp:anchor distT="4294967294" distB="4294967294" distL="114300" distR="114300" simplePos="0" relativeHeight="251659264" behindDoc="0" locked="0" layoutInCell="1" allowOverlap="1" wp14:anchorId="30D8EAF9" wp14:editId="0CBB30F2">
                      <wp:simplePos x="0" y="0"/>
                      <wp:positionH relativeFrom="column">
                        <wp:posOffset>1351915</wp:posOffset>
                      </wp:positionH>
                      <wp:positionV relativeFrom="paragraph">
                        <wp:posOffset>27304</wp:posOffset>
                      </wp:positionV>
                      <wp:extent cx="2091055"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1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C674D" id="Straight Connector 2"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06.45pt,2.15pt" to="271.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"/>
                  </w:pict>
                </mc:Fallback>
              </mc:AlternateContent>
            </w:r>
          </w:p>
          <w:p w14:paraId="797757C5" w14:textId="77777777" w:rsidR="002B03E4" w:rsidRDefault="002B03E4" w:rsidP="00B77C7A">
            <w:pPr>
              <w:widowControl w:val="0"/>
              <w:jc w:val="center"/>
              <w:rPr>
                <w:i/>
                <w:color w:val="000000"/>
              </w:rPr>
            </w:pPr>
          </w:p>
          <w:p w14:paraId="726F0B7D" w14:textId="77777777" w:rsidR="002B03E4" w:rsidRPr="00B72531" w:rsidRDefault="002B03E4" w:rsidP="00B77C7A">
            <w:pPr>
              <w:widowControl w:val="0"/>
              <w:jc w:val="center"/>
              <w:rPr>
                <w:color w:val="000000"/>
              </w:rPr>
            </w:pPr>
            <w:r>
              <w:rPr>
                <w:i/>
                <w:color w:val="000000"/>
              </w:rPr>
              <w:t>Nghệ An, ngày</w:t>
            </w:r>
            <w:r w:rsidRPr="00B72531">
              <w:rPr>
                <w:i/>
                <w:color w:val="000000"/>
              </w:rPr>
              <w:t xml:space="preserve">   tháng </w:t>
            </w:r>
            <w:r>
              <w:rPr>
                <w:i/>
                <w:color w:val="000000"/>
              </w:rPr>
              <w:t>5  năm 2026</w:t>
            </w:r>
          </w:p>
        </w:tc>
      </w:tr>
    </w:tbl>
    <w:p w14:paraId="30271F8C" w14:textId="77777777" w:rsidR="002B03E4" w:rsidRDefault="002B03E4" w:rsidP="002B03E4">
      <w:pPr>
        <w:jc w:val="center"/>
        <w:rPr>
          <w:b/>
          <w:lang w:eastAsia="zh-CN"/>
        </w:rPr>
      </w:pPr>
    </w:p>
    <w:p w14:paraId="67F2179F" w14:textId="77777777" w:rsidR="002B03E4" w:rsidRPr="002B139C" w:rsidRDefault="002B03E4" w:rsidP="002B03E4">
      <w:pPr>
        <w:jc w:val="center"/>
        <w:rPr>
          <w:b/>
          <w:lang w:eastAsia="zh-CN"/>
        </w:rPr>
      </w:pPr>
      <w:r w:rsidRPr="002B139C">
        <w:rPr>
          <w:b/>
          <w:lang w:eastAsia="zh-CN"/>
        </w:rPr>
        <w:t>BẢN SO SÁNH, THUYẾT MINH</w:t>
      </w:r>
    </w:p>
    <w:p w14:paraId="4D811FD4" w14:textId="77777777" w:rsidR="002B03E4" w:rsidRDefault="002B03E4" w:rsidP="002B03E4">
      <w:pPr>
        <w:spacing w:line="276" w:lineRule="auto"/>
        <w:ind w:right="-241"/>
        <w:jc w:val="center"/>
        <w:rPr>
          <w:b/>
          <w:bCs/>
          <w:noProof/>
          <w:sz w:val="26"/>
          <w:szCs w:val="26"/>
        </w:rPr>
      </w:pPr>
      <w:r w:rsidRPr="002B139C">
        <w:rPr>
          <w:b/>
          <w:spacing w:val="-10"/>
          <w:sz w:val="26"/>
          <w:szCs w:val="26"/>
          <w:lang w:eastAsia="zh-CN"/>
        </w:rPr>
        <w:t xml:space="preserve">DỰ THẢO </w:t>
      </w:r>
      <w:r>
        <w:rPr>
          <w:b/>
          <w:spacing w:val="-10"/>
          <w:sz w:val="26"/>
          <w:szCs w:val="26"/>
          <w:lang w:eastAsia="zh-CN"/>
        </w:rPr>
        <w:t xml:space="preserve">NGHỊ QUYẾT </w:t>
      </w:r>
      <w:r w:rsidRPr="002B139C">
        <w:rPr>
          <w:b/>
          <w:bCs/>
          <w:noProof/>
          <w:sz w:val="26"/>
          <w:szCs w:val="26"/>
        </w:rPr>
        <w:t>Q</w:t>
      </w:r>
      <w:r w:rsidRPr="002B139C">
        <w:rPr>
          <w:b/>
          <w:bCs/>
          <w:noProof/>
          <w:sz w:val="26"/>
          <w:szCs w:val="26"/>
          <w:lang w:val="vi-VN"/>
        </w:rPr>
        <w:t xml:space="preserve">UY ĐỊNH </w:t>
      </w:r>
      <w:r>
        <w:rPr>
          <w:b/>
          <w:bCs/>
          <w:noProof/>
          <w:sz w:val="26"/>
          <w:szCs w:val="26"/>
        </w:rPr>
        <w:t xml:space="preserve">TỔNG MỨC CHI VÀ MỨC KHOÁN CHI ĐỐI VỚI CÔNG TÁC </w:t>
      </w:r>
    </w:p>
    <w:p w14:paraId="6DAEE586" w14:textId="77777777" w:rsidR="002B03E4" w:rsidRPr="002B0B1D" w:rsidRDefault="002B03E4" w:rsidP="002B03E4">
      <w:pPr>
        <w:spacing w:line="276" w:lineRule="auto"/>
        <w:ind w:right="-241"/>
        <w:jc w:val="center"/>
        <w:rPr>
          <w:b/>
          <w:spacing w:val="-10"/>
          <w:sz w:val="26"/>
          <w:szCs w:val="26"/>
          <w:lang w:eastAsia="zh-CN"/>
        </w:rPr>
      </w:pPr>
      <w:r>
        <w:rPr>
          <w:b/>
          <w:bCs/>
          <w:noProof/>
          <w:sz w:val="26"/>
          <w:szCs w:val="26"/>
        </w:rPr>
        <w:t>XÂY DỰNG VĂN BẢN QUY PHẠM PHÁP LUẬT TRÊN ĐỊA BÀN TỈNH NGHỆ AN</w:t>
      </w:r>
    </w:p>
    <w:p w14:paraId="69A839E4" w14:textId="77777777" w:rsidR="002B03E4" w:rsidRPr="002B139C" w:rsidRDefault="002B03E4" w:rsidP="002B03E4">
      <w:pPr>
        <w:widowControl w:val="0"/>
        <w:spacing w:line="340" w:lineRule="exact"/>
        <w:jc w:val="center"/>
        <w:rPr>
          <w:b/>
          <w:lang w:val="vi-VN" w:eastAsia="zh-CN"/>
        </w:rPr>
      </w:pPr>
    </w:p>
    <w:tbl>
      <w:tblPr>
        <w:tblW w:w="5273"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45"/>
        <w:gridCol w:w="5584"/>
        <w:gridCol w:w="4328"/>
      </w:tblGrid>
      <w:tr w:rsidR="002B03E4" w:rsidRPr="0098317C" w14:paraId="7E8005A7" w14:textId="77777777" w:rsidTr="00B77C7A">
        <w:trPr>
          <w:trHeight w:val="339"/>
          <w:tblHeader/>
        </w:trPr>
        <w:tc>
          <w:tcPr>
            <w:tcW w:w="1773" w:type="pct"/>
            <w:vAlign w:val="center"/>
          </w:tcPr>
          <w:p w14:paraId="75C1D58A" w14:textId="77777777" w:rsidR="002B03E4" w:rsidRPr="0098317C" w:rsidRDefault="002B03E4" w:rsidP="00B77C7A">
            <w:pPr>
              <w:widowControl w:val="0"/>
              <w:spacing w:before="120" w:after="120"/>
              <w:jc w:val="center"/>
              <w:rPr>
                <w:b/>
                <w:sz w:val="24"/>
                <w:szCs w:val="24"/>
                <w:lang w:val="vi-VN" w:eastAsia="zh-CN"/>
              </w:rPr>
            </w:pPr>
            <w:r w:rsidRPr="0098317C">
              <w:rPr>
                <w:b/>
                <w:spacing w:val="-6"/>
                <w:sz w:val="24"/>
                <w:szCs w:val="24"/>
                <w:lang w:val="vi-VN" w:eastAsia="zh-CN"/>
              </w:rPr>
              <w:t>VĂN BẢN QPPL</w:t>
            </w:r>
            <w:r w:rsidRPr="0098317C">
              <w:rPr>
                <w:b/>
                <w:sz w:val="24"/>
                <w:szCs w:val="24"/>
                <w:lang w:val="vi-VN" w:eastAsia="zh-CN"/>
              </w:rPr>
              <w:t xml:space="preserve"> HIỆN HÀNH</w:t>
            </w:r>
          </w:p>
          <w:p w14:paraId="2829F6AF" w14:textId="77777777" w:rsidR="002B03E4" w:rsidRPr="0098317C" w:rsidRDefault="002B03E4" w:rsidP="00B77C7A">
            <w:pPr>
              <w:widowControl w:val="0"/>
              <w:spacing w:before="120" w:after="120"/>
              <w:jc w:val="center"/>
              <w:rPr>
                <w:b/>
                <w:sz w:val="24"/>
                <w:szCs w:val="24"/>
              </w:rPr>
            </w:pPr>
            <w:r w:rsidRPr="0098317C">
              <w:rPr>
                <w:b/>
                <w:sz w:val="24"/>
                <w:szCs w:val="24"/>
              </w:rPr>
              <w:t>(</w:t>
            </w:r>
            <w:r w:rsidRPr="0098317C">
              <w:rPr>
                <w:b/>
                <w:i/>
                <w:sz w:val="24"/>
                <w:szCs w:val="24"/>
              </w:rPr>
              <w:t>Nghị quyết số 23/2022/NQ-HĐND ngày 12/11/2022 của Hội đồng nhân dân tỉnh quy định mức phân bổ kinh phí từ nguồn ngân sách nhà nước đảm bảo cho công tác xây dựng VBPPL và hoàn thiện hệ thống pháp luật trên địa bàn tỉnh Nghệ An)</w:t>
            </w:r>
          </w:p>
        </w:tc>
        <w:tc>
          <w:tcPr>
            <w:tcW w:w="1818" w:type="pct"/>
            <w:vAlign w:val="center"/>
          </w:tcPr>
          <w:p w14:paraId="6CE9729C" w14:textId="77777777" w:rsidR="002B03E4" w:rsidRPr="0098317C" w:rsidRDefault="002B03E4" w:rsidP="00B77C7A">
            <w:pPr>
              <w:widowControl w:val="0"/>
              <w:spacing w:before="120" w:after="120"/>
              <w:jc w:val="center"/>
              <w:rPr>
                <w:b/>
                <w:sz w:val="24"/>
                <w:szCs w:val="24"/>
                <w:lang w:val="vi-VN" w:eastAsia="zh-CN"/>
              </w:rPr>
            </w:pPr>
            <w:r w:rsidRPr="0098317C">
              <w:rPr>
                <w:b/>
                <w:sz w:val="24"/>
                <w:szCs w:val="24"/>
                <w:lang w:val="vi-VN"/>
              </w:rPr>
              <w:t>DỰ THẢO VĂN BẢN</w:t>
            </w:r>
            <w:r w:rsidRPr="0098317C" w:rsidDel="00F530D1">
              <w:rPr>
                <w:b/>
                <w:sz w:val="24"/>
                <w:szCs w:val="24"/>
                <w:lang w:val="vi-VN"/>
              </w:rPr>
              <w:t xml:space="preserve"> </w:t>
            </w:r>
            <w:r w:rsidRPr="0098317C">
              <w:rPr>
                <w:b/>
                <w:sz w:val="24"/>
                <w:szCs w:val="24"/>
                <w:lang w:val="vi-VN" w:eastAsia="zh-CN"/>
              </w:rPr>
              <w:t>QPPL THAY THẾ</w:t>
            </w:r>
          </w:p>
          <w:p w14:paraId="52DEBF1C" w14:textId="77777777" w:rsidR="002B03E4" w:rsidRPr="0098317C" w:rsidRDefault="002B03E4" w:rsidP="00B77C7A">
            <w:pPr>
              <w:widowControl w:val="0"/>
              <w:spacing w:before="120" w:after="120"/>
              <w:jc w:val="center"/>
              <w:rPr>
                <w:b/>
                <w:sz w:val="24"/>
                <w:szCs w:val="24"/>
              </w:rPr>
            </w:pPr>
            <w:r w:rsidRPr="0098317C">
              <w:rPr>
                <w:b/>
                <w:sz w:val="24"/>
                <w:szCs w:val="24"/>
                <w:lang w:eastAsia="zh-CN"/>
              </w:rPr>
              <w:t>(</w:t>
            </w:r>
            <w:r w:rsidRPr="0098317C">
              <w:rPr>
                <w:b/>
                <w:i/>
                <w:sz w:val="24"/>
                <w:szCs w:val="24"/>
                <w:lang w:eastAsia="zh-CN"/>
              </w:rPr>
              <w:t xml:space="preserve">Dự thảo </w:t>
            </w:r>
            <w:r w:rsidRPr="0098317C">
              <w:rPr>
                <w:b/>
                <w:bCs/>
                <w:i/>
                <w:noProof/>
                <w:sz w:val="24"/>
                <w:szCs w:val="24"/>
                <w:lang w:val="vi-VN"/>
              </w:rPr>
              <w:t xml:space="preserve">Nghị quyết </w:t>
            </w:r>
            <w:r w:rsidRPr="0098317C">
              <w:rPr>
                <w:b/>
                <w:bCs/>
                <w:i/>
                <w:noProof/>
                <w:sz w:val="24"/>
                <w:szCs w:val="24"/>
              </w:rPr>
              <w:t>quy định tổng mức chi và mức khoán chi đối với công tác xây dựng VBQPPL trên địa bàn tỉnh Nghệ An)</w:t>
            </w:r>
          </w:p>
        </w:tc>
        <w:tc>
          <w:tcPr>
            <w:tcW w:w="1409" w:type="pct"/>
            <w:vAlign w:val="center"/>
          </w:tcPr>
          <w:p w14:paraId="46567980" w14:textId="77777777" w:rsidR="002B03E4" w:rsidRPr="0098317C" w:rsidRDefault="002B03E4" w:rsidP="00B77C7A">
            <w:pPr>
              <w:widowControl w:val="0"/>
              <w:spacing w:before="120" w:after="120"/>
              <w:jc w:val="center"/>
              <w:rPr>
                <w:b/>
                <w:sz w:val="24"/>
                <w:szCs w:val="24"/>
              </w:rPr>
            </w:pPr>
            <w:r w:rsidRPr="0098317C">
              <w:rPr>
                <w:b/>
                <w:sz w:val="24"/>
                <w:szCs w:val="24"/>
              </w:rPr>
              <w:t>THUYẾT MINH</w:t>
            </w:r>
          </w:p>
        </w:tc>
      </w:tr>
      <w:tr w:rsidR="002B03E4" w:rsidRPr="0098317C" w14:paraId="196C2F78" w14:textId="77777777" w:rsidTr="00B77C7A">
        <w:tc>
          <w:tcPr>
            <w:tcW w:w="1773" w:type="pct"/>
          </w:tcPr>
          <w:p w14:paraId="1065D5ED" w14:textId="77777777" w:rsidR="002B03E4" w:rsidRPr="0098317C" w:rsidRDefault="002B03E4" w:rsidP="00B77C7A">
            <w:pPr>
              <w:spacing w:before="60" w:after="60" w:line="288" w:lineRule="auto"/>
              <w:jc w:val="both"/>
              <w:rPr>
                <w:b/>
                <w:color w:val="000000"/>
                <w:sz w:val="24"/>
                <w:szCs w:val="24"/>
                <w:shd w:val="clear" w:color="auto" w:fill="FFFFFF"/>
              </w:rPr>
            </w:pPr>
            <w:r w:rsidRPr="0098317C">
              <w:rPr>
                <w:b/>
                <w:color w:val="000000"/>
                <w:sz w:val="24"/>
                <w:szCs w:val="24"/>
                <w:shd w:val="clear" w:color="auto" w:fill="FFFFFF"/>
              </w:rPr>
              <w:t>1. Phạm vi điều chỉnh</w:t>
            </w:r>
          </w:p>
          <w:p w14:paraId="2DCC9B1F" w14:textId="77777777" w:rsidR="002B03E4" w:rsidRPr="0098317C" w:rsidRDefault="002B03E4" w:rsidP="00B77C7A">
            <w:pPr>
              <w:spacing w:before="60" w:after="60" w:line="288" w:lineRule="auto"/>
              <w:jc w:val="both"/>
              <w:rPr>
                <w:color w:val="000000"/>
                <w:sz w:val="24"/>
                <w:szCs w:val="24"/>
                <w:shd w:val="clear" w:color="auto" w:fill="FFFFFF"/>
                <w:lang w:val="vi-VN"/>
              </w:rPr>
            </w:pPr>
            <w:r w:rsidRPr="0098317C">
              <w:rPr>
                <w:color w:val="000000"/>
                <w:sz w:val="24"/>
                <w:szCs w:val="24"/>
                <w:shd w:val="clear" w:color="auto" w:fill="FFFFFF"/>
                <w:lang w:val="vi-VN"/>
              </w:rPr>
              <w:t>Nghị quyết này quy định mức phân bổ kinh phí từ nguồn ngân sách nhà nước bảo đảm cho công tác xây dựng văn bản quy phạm pháp luật và hoàn thiện hệ thống pháp luật trên địa bàn tỉnh Nghệ An, gồm các văn bản sau:</w:t>
            </w:r>
          </w:p>
          <w:p w14:paraId="1D67CCAE" w14:textId="77777777" w:rsidR="002B03E4" w:rsidRPr="0098317C" w:rsidRDefault="002B03E4" w:rsidP="00B77C7A">
            <w:pPr>
              <w:spacing w:before="60" w:after="60" w:line="288" w:lineRule="auto"/>
              <w:jc w:val="both"/>
              <w:rPr>
                <w:color w:val="000000"/>
                <w:sz w:val="24"/>
                <w:szCs w:val="24"/>
                <w:shd w:val="clear" w:color="auto" w:fill="FFFFFF"/>
                <w:lang w:val="vi-VN"/>
              </w:rPr>
            </w:pPr>
            <w:r w:rsidRPr="0098317C">
              <w:rPr>
                <w:color w:val="000000"/>
                <w:sz w:val="24"/>
                <w:szCs w:val="24"/>
                <w:shd w:val="clear" w:color="auto" w:fill="FFFFFF"/>
                <w:lang w:val="vi-VN"/>
              </w:rPr>
              <w:t>a) Nghị quyết của Hội đồng nhân dân các cấp;</w:t>
            </w:r>
          </w:p>
          <w:p w14:paraId="3223EF93" w14:textId="77777777" w:rsidR="002B03E4" w:rsidRPr="0098317C" w:rsidRDefault="002B03E4" w:rsidP="00B77C7A">
            <w:pPr>
              <w:spacing w:before="60" w:after="60" w:line="288" w:lineRule="auto"/>
              <w:jc w:val="both"/>
              <w:rPr>
                <w:color w:val="000000"/>
                <w:sz w:val="24"/>
                <w:szCs w:val="24"/>
                <w:shd w:val="clear" w:color="auto" w:fill="FFFFFF"/>
              </w:rPr>
            </w:pPr>
            <w:r w:rsidRPr="0098317C">
              <w:rPr>
                <w:color w:val="000000"/>
                <w:sz w:val="24"/>
                <w:szCs w:val="24"/>
                <w:shd w:val="clear" w:color="auto" w:fill="FFFFFF"/>
                <w:lang w:val="vi-VN"/>
              </w:rPr>
              <w:t>b) Quyết định củ</w:t>
            </w:r>
            <w:r>
              <w:rPr>
                <w:color w:val="000000"/>
                <w:sz w:val="24"/>
                <w:szCs w:val="24"/>
                <w:shd w:val="clear" w:color="auto" w:fill="FFFFFF"/>
              </w:rPr>
              <w:t xml:space="preserve">a </w:t>
            </w:r>
            <w:r w:rsidRPr="0098317C">
              <w:rPr>
                <w:color w:val="000000"/>
                <w:sz w:val="24"/>
                <w:szCs w:val="24"/>
                <w:shd w:val="clear" w:color="auto" w:fill="FFFFFF"/>
                <w:lang w:val="vi-VN"/>
              </w:rPr>
              <w:t xml:space="preserve"> Ủy ban nhân dân các cấp.</w:t>
            </w:r>
          </w:p>
        </w:tc>
        <w:tc>
          <w:tcPr>
            <w:tcW w:w="1818" w:type="pct"/>
          </w:tcPr>
          <w:p w14:paraId="27AAB55E" w14:textId="77777777" w:rsidR="002B03E4" w:rsidRPr="0098317C" w:rsidRDefault="002B03E4" w:rsidP="00B77C7A">
            <w:pPr>
              <w:spacing w:before="60" w:after="60" w:line="288" w:lineRule="auto"/>
              <w:jc w:val="both"/>
              <w:rPr>
                <w:b/>
                <w:color w:val="000000"/>
                <w:sz w:val="24"/>
                <w:szCs w:val="24"/>
                <w:shd w:val="clear" w:color="auto" w:fill="FFFFFF"/>
                <w:lang w:val="vi-VN"/>
              </w:rPr>
            </w:pPr>
            <w:r w:rsidRPr="0098317C">
              <w:rPr>
                <w:b/>
                <w:sz w:val="24"/>
                <w:szCs w:val="24"/>
              </w:rPr>
              <w:t>1</w:t>
            </w:r>
            <w:r w:rsidRPr="0098317C">
              <w:rPr>
                <w:b/>
                <w:color w:val="000000"/>
                <w:sz w:val="24"/>
                <w:szCs w:val="24"/>
                <w:shd w:val="clear" w:color="auto" w:fill="FFFFFF"/>
                <w:lang w:val="vi-VN"/>
              </w:rPr>
              <w:t>. Phạm vi điều chỉnh</w:t>
            </w:r>
          </w:p>
          <w:p w14:paraId="5AFC9E41" w14:textId="77777777" w:rsidR="002B03E4" w:rsidRPr="0098317C" w:rsidRDefault="002B03E4" w:rsidP="00B77C7A">
            <w:pPr>
              <w:spacing w:before="60" w:after="60" w:line="288" w:lineRule="auto"/>
              <w:jc w:val="both"/>
              <w:rPr>
                <w:color w:val="000000"/>
                <w:sz w:val="24"/>
                <w:szCs w:val="24"/>
                <w:shd w:val="clear" w:color="auto" w:fill="FFFFFF"/>
                <w:lang w:val="vi-VN"/>
              </w:rPr>
            </w:pPr>
            <w:r w:rsidRPr="0098317C">
              <w:rPr>
                <w:color w:val="000000"/>
                <w:sz w:val="24"/>
                <w:szCs w:val="24"/>
                <w:shd w:val="clear" w:color="auto" w:fill="FFFFFF"/>
                <w:lang w:val="vi-VN"/>
              </w:rPr>
              <w:t>Nghị quyết này quy định các nội dung sau đây:</w:t>
            </w:r>
          </w:p>
          <w:p w14:paraId="28500BEA" w14:textId="77777777" w:rsidR="002B03E4" w:rsidRPr="0098317C" w:rsidRDefault="002B03E4" w:rsidP="00B77C7A">
            <w:pPr>
              <w:spacing w:before="60" w:after="60" w:line="288" w:lineRule="auto"/>
              <w:jc w:val="both"/>
              <w:rPr>
                <w:color w:val="000000"/>
                <w:sz w:val="24"/>
                <w:szCs w:val="24"/>
                <w:shd w:val="clear" w:color="auto" w:fill="FFFFFF"/>
                <w:lang w:val="vi-VN"/>
              </w:rPr>
            </w:pPr>
            <w:r w:rsidRPr="0098317C">
              <w:rPr>
                <w:color w:val="000000"/>
                <w:sz w:val="24"/>
                <w:szCs w:val="24"/>
                <w:shd w:val="clear" w:color="auto" w:fill="FFFFFF"/>
                <w:lang w:val="vi-VN"/>
              </w:rPr>
              <w:t>a) Tổng mức chi đối với công tác xây dựng văn bản quy phạm pháp luật gồm: nghị quyết của Hội đồng nhân dân tỉnh, quyết định của Ủy ban nhân dân tỉnh, quyết định của Chủ tịch Ủy ban nhân dân tỉnh.</w:t>
            </w:r>
          </w:p>
          <w:p w14:paraId="21E5E3DB" w14:textId="77777777" w:rsidR="002B03E4" w:rsidRPr="0098317C" w:rsidRDefault="002B03E4" w:rsidP="00B77C7A">
            <w:pPr>
              <w:spacing w:before="60" w:after="60" w:line="288" w:lineRule="auto"/>
              <w:jc w:val="both"/>
              <w:rPr>
                <w:color w:val="000000"/>
                <w:sz w:val="24"/>
                <w:szCs w:val="24"/>
                <w:shd w:val="clear" w:color="auto" w:fill="FFFFFF"/>
                <w:lang w:val="vi-VN"/>
              </w:rPr>
            </w:pPr>
            <w:r w:rsidRPr="0098317C">
              <w:rPr>
                <w:color w:val="000000"/>
                <w:sz w:val="24"/>
                <w:szCs w:val="24"/>
                <w:shd w:val="clear" w:color="auto" w:fill="FFFFFF"/>
                <w:lang w:val="vi-VN"/>
              </w:rPr>
              <w:t>b) Mức khoán chi đối với các nhiệm vụ, hoạt động trong quá trình xây dựng văn bản quy phạm pháp luật của Hội đồng nhân dân tỉnh, Ủy ban nhân dân tỉnh, Chủ tịch Ủy ban nhân dân tỉnh.</w:t>
            </w:r>
          </w:p>
          <w:p w14:paraId="0B6305DA" w14:textId="77777777" w:rsidR="002B03E4" w:rsidRPr="0098317C" w:rsidRDefault="002B03E4" w:rsidP="00B77C7A">
            <w:pPr>
              <w:spacing w:before="60" w:after="60" w:line="288" w:lineRule="auto"/>
              <w:jc w:val="both"/>
              <w:rPr>
                <w:sz w:val="24"/>
                <w:szCs w:val="24"/>
              </w:rPr>
            </w:pPr>
          </w:p>
        </w:tc>
        <w:tc>
          <w:tcPr>
            <w:tcW w:w="1409" w:type="pct"/>
          </w:tcPr>
          <w:p w14:paraId="70E445FF" w14:textId="77777777" w:rsidR="002B03E4" w:rsidRPr="0098317C" w:rsidRDefault="002B03E4" w:rsidP="00B77C7A">
            <w:pPr>
              <w:widowControl w:val="0"/>
              <w:spacing w:before="60" w:after="60" w:line="288" w:lineRule="auto"/>
              <w:jc w:val="both"/>
              <w:rPr>
                <w:iCs/>
                <w:spacing w:val="7"/>
                <w:sz w:val="24"/>
                <w:szCs w:val="24"/>
              </w:rPr>
            </w:pPr>
            <w:r w:rsidRPr="0098317C">
              <w:rPr>
                <w:iCs/>
                <w:spacing w:val="7"/>
                <w:sz w:val="24"/>
                <w:szCs w:val="24"/>
              </w:rPr>
              <w:t xml:space="preserve">Phạm vi điều chỉnh tại dự thảo Nghị quyết chỉ quy định tổng mức chi và mức khoán chi đối với công tác xây dựng VBQPPL cấp tỉnh, không điều chỉnh VBQPPL của HĐND, UBND cấp xã. Việc quy định phạm vi điều chỉnh này đảm bảo phù hợp với quy định tại Nghị quyết 197/2025/QH15 và Nghị định số 289/2025/NĐ-CP. </w:t>
            </w:r>
          </w:p>
          <w:p w14:paraId="005E449F" w14:textId="77777777" w:rsidR="002B03E4" w:rsidRPr="0098317C" w:rsidRDefault="002B03E4" w:rsidP="00B77C7A">
            <w:pPr>
              <w:widowControl w:val="0"/>
              <w:spacing w:before="60" w:after="60" w:line="288" w:lineRule="auto"/>
              <w:jc w:val="both"/>
              <w:rPr>
                <w:iCs/>
                <w:spacing w:val="7"/>
                <w:sz w:val="24"/>
                <w:szCs w:val="24"/>
              </w:rPr>
            </w:pPr>
          </w:p>
          <w:p w14:paraId="3B7B3A57" w14:textId="77777777" w:rsidR="002B03E4" w:rsidRPr="0098317C" w:rsidRDefault="002B03E4" w:rsidP="00B77C7A">
            <w:pPr>
              <w:widowControl w:val="0"/>
              <w:spacing w:before="60" w:after="60" w:line="288" w:lineRule="auto"/>
              <w:jc w:val="both"/>
              <w:rPr>
                <w:iCs/>
                <w:spacing w:val="7"/>
                <w:sz w:val="24"/>
                <w:szCs w:val="24"/>
              </w:rPr>
            </w:pPr>
          </w:p>
          <w:p w14:paraId="0179E664" w14:textId="77777777" w:rsidR="002B03E4" w:rsidRPr="0098317C" w:rsidRDefault="002B03E4" w:rsidP="00B77C7A">
            <w:pPr>
              <w:widowControl w:val="0"/>
              <w:spacing w:before="60" w:after="60" w:line="288" w:lineRule="auto"/>
              <w:jc w:val="both"/>
              <w:rPr>
                <w:iCs/>
                <w:spacing w:val="7"/>
                <w:sz w:val="24"/>
                <w:szCs w:val="24"/>
              </w:rPr>
            </w:pPr>
          </w:p>
          <w:p w14:paraId="3C883078" w14:textId="77777777" w:rsidR="002B03E4" w:rsidRPr="0098317C" w:rsidRDefault="002B03E4" w:rsidP="00B77C7A">
            <w:pPr>
              <w:widowControl w:val="0"/>
              <w:spacing w:before="60" w:after="60" w:line="288" w:lineRule="auto"/>
              <w:jc w:val="both"/>
              <w:rPr>
                <w:iCs/>
                <w:spacing w:val="7"/>
                <w:sz w:val="24"/>
                <w:szCs w:val="24"/>
              </w:rPr>
            </w:pPr>
          </w:p>
          <w:p w14:paraId="4FB83087" w14:textId="77777777" w:rsidR="002B03E4" w:rsidRPr="0098317C" w:rsidRDefault="002B03E4" w:rsidP="00B77C7A">
            <w:pPr>
              <w:widowControl w:val="0"/>
              <w:spacing w:before="60" w:after="60" w:line="288" w:lineRule="auto"/>
              <w:jc w:val="both"/>
              <w:rPr>
                <w:iCs/>
                <w:spacing w:val="7"/>
                <w:sz w:val="24"/>
                <w:szCs w:val="24"/>
              </w:rPr>
            </w:pPr>
          </w:p>
          <w:p w14:paraId="682A948A" w14:textId="77777777" w:rsidR="002B03E4" w:rsidRPr="0098317C" w:rsidRDefault="002B03E4" w:rsidP="00B77C7A">
            <w:pPr>
              <w:widowControl w:val="0"/>
              <w:spacing w:before="60" w:after="60" w:line="288" w:lineRule="auto"/>
              <w:jc w:val="both"/>
              <w:rPr>
                <w:iCs/>
                <w:spacing w:val="7"/>
                <w:sz w:val="24"/>
                <w:szCs w:val="24"/>
              </w:rPr>
            </w:pPr>
          </w:p>
          <w:p w14:paraId="449168BF" w14:textId="77777777" w:rsidR="002B03E4" w:rsidRPr="0098317C" w:rsidRDefault="002B03E4" w:rsidP="00B77C7A">
            <w:pPr>
              <w:widowControl w:val="0"/>
              <w:spacing w:before="60" w:after="60" w:line="288" w:lineRule="auto"/>
              <w:jc w:val="both"/>
              <w:rPr>
                <w:iCs/>
                <w:spacing w:val="7"/>
                <w:sz w:val="24"/>
                <w:szCs w:val="24"/>
              </w:rPr>
            </w:pPr>
          </w:p>
        </w:tc>
      </w:tr>
      <w:tr w:rsidR="002B03E4" w:rsidRPr="0098317C" w14:paraId="6C2402D3" w14:textId="77777777" w:rsidTr="00B77C7A">
        <w:tc>
          <w:tcPr>
            <w:tcW w:w="1773" w:type="pct"/>
          </w:tcPr>
          <w:p w14:paraId="6665DE64" w14:textId="77777777" w:rsidR="002B03E4" w:rsidRPr="0098317C" w:rsidRDefault="002B03E4" w:rsidP="00B77C7A">
            <w:pPr>
              <w:pStyle w:val="NormalWeb"/>
              <w:spacing w:before="60" w:beforeAutospacing="0" w:after="60" w:afterAutospacing="0" w:line="288" w:lineRule="auto"/>
              <w:jc w:val="both"/>
              <w:rPr>
                <w:b/>
                <w:color w:val="000000"/>
                <w:shd w:val="clear" w:color="auto" w:fill="FFFFFF"/>
              </w:rPr>
            </w:pPr>
            <w:r w:rsidRPr="0098317C">
              <w:rPr>
                <w:b/>
                <w:color w:val="000000"/>
                <w:shd w:val="clear" w:color="auto" w:fill="FFFFFF"/>
              </w:rPr>
              <w:lastRenderedPageBreak/>
              <w:t>2. Đối tượng áp dụng</w:t>
            </w:r>
          </w:p>
          <w:p w14:paraId="6D118D53" w14:textId="77777777" w:rsidR="002B03E4" w:rsidRPr="0098317C" w:rsidRDefault="002B03E4" w:rsidP="00B77C7A">
            <w:pPr>
              <w:pStyle w:val="NormalWeb"/>
              <w:spacing w:before="60" w:beforeAutospacing="0" w:after="60" w:afterAutospacing="0" w:line="288" w:lineRule="auto"/>
              <w:jc w:val="both"/>
            </w:pPr>
            <w:r w:rsidRPr="0098317C">
              <w:rPr>
                <w:color w:val="000000"/>
                <w:shd w:val="clear" w:color="auto" w:fill="FFFFFF"/>
              </w:rPr>
              <w:t>Nghị quyết này áp dụng đối với các cơ quan, đơn vị được phân công chủ trì soạn thảo, thẩm định, thẩm tra dự thảo văn bản và cơ quan, tổ chức, cá nhân có liên quan đến xây dựng văn bản quy phạm pháp luật và hoàn thiện hệ thống pháp luật.</w:t>
            </w:r>
          </w:p>
        </w:tc>
        <w:tc>
          <w:tcPr>
            <w:tcW w:w="1818" w:type="pct"/>
          </w:tcPr>
          <w:p w14:paraId="556791AD" w14:textId="77777777" w:rsidR="002B03E4" w:rsidRPr="0098317C" w:rsidRDefault="002B03E4" w:rsidP="00B77C7A">
            <w:pPr>
              <w:pStyle w:val="NormalWeb"/>
              <w:spacing w:before="60" w:beforeAutospacing="0" w:after="60" w:afterAutospacing="0" w:line="288" w:lineRule="auto"/>
              <w:jc w:val="both"/>
              <w:rPr>
                <w:b/>
                <w:bCs/>
                <w:color w:val="000000"/>
                <w:shd w:val="clear" w:color="auto" w:fill="FFFFFF"/>
              </w:rPr>
            </w:pPr>
            <w:r w:rsidRPr="0098317C">
              <w:rPr>
                <w:b/>
                <w:bCs/>
                <w:color w:val="000000"/>
                <w:shd w:val="clear" w:color="auto" w:fill="FFFFFF"/>
              </w:rPr>
              <w:t>2. Đối tượng áp dụng</w:t>
            </w:r>
          </w:p>
          <w:p w14:paraId="014C82AD" w14:textId="77777777" w:rsidR="002B03E4" w:rsidRPr="0098317C" w:rsidRDefault="002B03E4" w:rsidP="00B77C7A">
            <w:pPr>
              <w:pStyle w:val="NormalWeb"/>
              <w:spacing w:before="60" w:beforeAutospacing="0" w:after="60" w:afterAutospacing="0" w:line="288" w:lineRule="auto"/>
              <w:jc w:val="both"/>
              <w:rPr>
                <w:color w:val="000000"/>
                <w:shd w:val="clear" w:color="auto" w:fill="FFFFFF"/>
              </w:rPr>
            </w:pPr>
            <w:r w:rsidRPr="0098317C">
              <w:rPr>
                <w:color w:val="000000"/>
                <w:shd w:val="clear" w:color="auto" w:fill="FFFFFF"/>
              </w:rPr>
              <w:t>1. Các cơ quan, tổ chức, cá nhân tham gia hoặc được giao nhiệm vụ trong công tác xây dựng, hoàn thiện văn bản quy phạm pháp luật.</w:t>
            </w:r>
          </w:p>
          <w:p w14:paraId="6F3DDEBE" w14:textId="77777777" w:rsidR="002B03E4" w:rsidRPr="0098317C" w:rsidRDefault="002B03E4" w:rsidP="00B77C7A">
            <w:pPr>
              <w:pStyle w:val="NormalWeb"/>
              <w:spacing w:before="60" w:beforeAutospacing="0" w:after="60" w:afterAutospacing="0" w:line="288" w:lineRule="auto"/>
              <w:jc w:val="both"/>
              <w:rPr>
                <w:color w:val="000000"/>
                <w:shd w:val="clear" w:color="auto" w:fill="FFFFFF"/>
              </w:rPr>
            </w:pPr>
            <w:r w:rsidRPr="0098317C">
              <w:rPr>
                <w:color w:val="000000"/>
                <w:shd w:val="clear" w:color="auto" w:fill="FFFFFF"/>
              </w:rPr>
              <w:t>2. Các cơ quan, tổ chức, cá nhân có liên quan đến việc đảm bảo kinh phí phục vụ công tác xây dựng, hoàn thiện văn bản quy phạm pháp luật.</w:t>
            </w:r>
          </w:p>
          <w:p w14:paraId="33970C32" w14:textId="77777777" w:rsidR="002B03E4" w:rsidRPr="0098317C" w:rsidRDefault="002B03E4" w:rsidP="00B77C7A">
            <w:pPr>
              <w:pStyle w:val="NormalWeb"/>
              <w:spacing w:before="60" w:beforeAutospacing="0" w:after="60" w:afterAutospacing="0" w:line="288" w:lineRule="auto"/>
              <w:jc w:val="both"/>
              <w:rPr>
                <w:color w:val="000000"/>
                <w:shd w:val="clear" w:color="auto" w:fill="FFFFFF"/>
              </w:rPr>
            </w:pPr>
            <w:r w:rsidRPr="0098317C">
              <w:rPr>
                <w:color w:val="000000"/>
                <w:shd w:val="clear" w:color="auto" w:fill="FFFFFF"/>
              </w:rPr>
              <w:t>3. Các cơ quan, tổ chức, cá nhân khác có liên quan.</w:t>
            </w:r>
          </w:p>
          <w:p w14:paraId="44BBB234" w14:textId="77777777" w:rsidR="002B03E4" w:rsidRPr="0098317C" w:rsidRDefault="002B03E4" w:rsidP="00B77C7A">
            <w:pPr>
              <w:pStyle w:val="NormalWeb"/>
              <w:spacing w:before="60" w:beforeAutospacing="0" w:after="60" w:afterAutospacing="0" w:line="288" w:lineRule="auto"/>
              <w:jc w:val="both"/>
              <w:rPr>
                <w:color w:val="000000"/>
                <w:shd w:val="clear" w:color="auto" w:fill="FFFFFF"/>
              </w:rPr>
            </w:pPr>
          </w:p>
        </w:tc>
        <w:tc>
          <w:tcPr>
            <w:tcW w:w="1409" w:type="pct"/>
          </w:tcPr>
          <w:p w14:paraId="6FB05F23" w14:textId="77777777" w:rsidR="002B03E4" w:rsidRPr="0098317C" w:rsidRDefault="002B03E4" w:rsidP="00B77C7A">
            <w:pPr>
              <w:widowControl w:val="0"/>
              <w:spacing w:before="60" w:after="60" w:line="288" w:lineRule="auto"/>
              <w:jc w:val="both"/>
              <w:rPr>
                <w:iCs/>
                <w:spacing w:val="7"/>
                <w:sz w:val="24"/>
                <w:szCs w:val="24"/>
              </w:rPr>
            </w:pPr>
            <w:r w:rsidRPr="0098317C">
              <w:rPr>
                <w:iCs/>
                <w:spacing w:val="7"/>
                <w:sz w:val="24"/>
                <w:szCs w:val="24"/>
              </w:rPr>
              <w:t>Cơ bản giống nhau, chỉ cụ thể hóa để rõ ràng hơn</w:t>
            </w:r>
          </w:p>
          <w:p w14:paraId="5C3EB148" w14:textId="77777777" w:rsidR="002B03E4" w:rsidRPr="0098317C" w:rsidRDefault="002B03E4" w:rsidP="00B77C7A">
            <w:pPr>
              <w:widowControl w:val="0"/>
              <w:spacing w:before="60" w:after="60" w:line="288" w:lineRule="auto"/>
              <w:jc w:val="both"/>
              <w:rPr>
                <w:sz w:val="24"/>
                <w:szCs w:val="24"/>
                <w:lang w:val="vi-VN"/>
              </w:rPr>
            </w:pPr>
          </w:p>
        </w:tc>
      </w:tr>
      <w:tr w:rsidR="002B03E4" w:rsidRPr="0098317C" w14:paraId="430679E1" w14:textId="77777777" w:rsidTr="00B77C7A">
        <w:tc>
          <w:tcPr>
            <w:tcW w:w="1773" w:type="pct"/>
          </w:tcPr>
          <w:p w14:paraId="3C8D5988" w14:textId="77777777" w:rsidR="002B03E4" w:rsidRPr="0098317C" w:rsidRDefault="002B03E4" w:rsidP="00B77C7A">
            <w:pPr>
              <w:pStyle w:val="NormalWeb"/>
              <w:shd w:val="clear" w:color="auto" w:fill="FFFFFF"/>
              <w:spacing w:before="60" w:beforeAutospacing="0" w:after="60" w:afterAutospacing="0" w:line="288" w:lineRule="auto"/>
              <w:jc w:val="both"/>
              <w:rPr>
                <w:b/>
                <w:bCs/>
                <w:color w:val="000000"/>
              </w:rPr>
            </w:pPr>
            <w:r w:rsidRPr="0098317C">
              <w:rPr>
                <w:b/>
                <w:bCs/>
                <w:color w:val="000000"/>
              </w:rPr>
              <w:t>3. Định mức phân bổ kinh phí cho công tác xây dựng văn bản quy phạm pháp luật và hoàn thiện hệ thống</w:t>
            </w:r>
          </w:p>
          <w:p w14:paraId="15B07A12"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1. Mức phân bổ kinh phí bảo đảm cho công tác xây dựng văn bản quy phạm pháp luật và hoàn thiện hệ thống pháp luật như sau:</w:t>
            </w:r>
          </w:p>
          <w:p w14:paraId="2E47B8D7"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a) Dự thảo nghị quyết của Hội đồng nhân dân được ban hành mới hoặc thay thế:</w:t>
            </w:r>
          </w:p>
          <w:p w14:paraId="108AE1B5"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 Cấp tỉnh: 30 triệu đồng/dự thảo;</w:t>
            </w:r>
          </w:p>
          <w:p w14:paraId="3B0188D0"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 Cấp huyện: 15 triệu đồng/dự thảo;</w:t>
            </w:r>
          </w:p>
          <w:p w14:paraId="44EA65E9"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 Cấp xã: 10 triệu đồng/dự thảo.</w:t>
            </w:r>
          </w:p>
          <w:p w14:paraId="6F546705"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b) Dự thảo quyết định của Ủy ban nhân dân được ban hành mới hoặc thay thế:</w:t>
            </w:r>
          </w:p>
          <w:p w14:paraId="140120AE"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lastRenderedPageBreak/>
              <w:t>- Cấp tỉnh: 20 triệu đồng/dự thảo;</w:t>
            </w:r>
          </w:p>
          <w:p w14:paraId="0A4F826A"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 Cấp huyện: 10 triệu đồng/dự thảo;</w:t>
            </w:r>
          </w:p>
          <w:p w14:paraId="274ACFC3"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 Cấp xã: 8 triệu đồng/dự thảo.</w:t>
            </w:r>
          </w:p>
          <w:p w14:paraId="7C11289A"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c) Đối với văn bản sửa đổi, bổ sung một số điều: Bằng 80% mức phân bổ đối với văn bản được ban hành mới hoặc thay thế được quy định tại điểm a và điểm b khoản 1 Điều này.</w:t>
            </w:r>
          </w:p>
          <w:p w14:paraId="394FA810" w14:textId="77777777" w:rsidR="002B03E4" w:rsidRPr="0098317C" w:rsidRDefault="002B03E4" w:rsidP="00B77C7A">
            <w:pPr>
              <w:pStyle w:val="NormalWeb"/>
              <w:shd w:val="clear" w:color="auto" w:fill="FFFFFF"/>
              <w:spacing w:before="60" w:beforeAutospacing="0" w:after="60" w:afterAutospacing="0" w:line="288" w:lineRule="auto"/>
              <w:jc w:val="both"/>
              <w:rPr>
                <w:lang w:val="vi-VN"/>
              </w:rPr>
            </w:pPr>
          </w:p>
        </w:tc>
        <w:tc>
          <w:tcPr>
            <w:tcW w:w="1818" w:type="pct"/>
          </w:tcPr>
          <w:p w14:paraId="3FEF3B10" w14:textId="77777777" w:rsidR="002B03E4" w:rsidRDefault="002B03E4" w:rsidP="00B77C7A">
            <w:pPr>
              <w:pStyle w:val="NormalWeb"/>
              <w:spacing w:before="60" w:beforeAutospacing="0" w:after="60" w:afterAutospacing="0" w:line="288" w:lineRule="auto"/>
              <w:jc w:val="both"/>
              <w:rPr>
                <w:b/>
                <w:bCs/>
              </w:rPr>
            </w:pPr>
            <w:r w:rsidRPr="0098317C">
              <w:rPr>
                <w:b/>
                <w:bCs/>
              </w:rPr>
              <w:lastRenderedPageBreak/>
              <w:t xml:space="preserve">3. </w:t>
            </w:r>
            <w:r>
              <w:rPr>
                <w:b/>
                <w:bCs/>
              </w:rPr>
              <w:t>Tổng mức chi đối với công tác xây dựng VBQPPL cấp tỉnh</w:t>
            </w:r>
          </w:p>
          <w:p w14:paraId="57B9B911"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 xml:space="preserve">Trên cơ sở Nghị quyết số 197/2025/QH15  và Nghị định số 289/2025/NĐ-CP, dự thảo quy định tổng mức chi của các cơ quan có thẩm quyền ban hành văn bản quy phạm pháp luật cấp tỉnh như sau: </w:t>
            </w:r>
          </w:p>
          <w:p w14:paraId="0AFD9C5E"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1. Tổng mức chi đối với Nghị quyết của HĐND tỉnh, Quyết định của UBND tỉnh</w:t>
            </w:r>
          </w:p>
          <w:p w14:paraId="3E6477CC"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Thực hiện theo quy định tại Nghị quyết 197/2025/QH15 và Nghị định số 289/2025/NĐ-CP, cụ thể như sau:</w:t>
            </w:r>
          </w:p>
          <w:p w14:paraId="2F54A90C"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a) Nghị quyết của HĐND tỉnh: 250.000.000 đ/văn bản;</w:t>
            </w:r>
          </w:p>
          <w:p w14:paraId="5DE60654"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b) Quyết định của UBND tỉnh: 100.000.000 đ/văn bản.</w:t>
            </w:r>
          </w:p>
          <w:p w14:paraId="5C8D9D9B"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lastRenderedPageBreak/>
              <w:t>2. Tổng mức chi đối với Quyết định của Chủ tịch UBND tỉnh là 30.000.000 đ/văn bản</w:t>
            </w:r>
          </w:p>
          <w:p w14:paraId="3FE41C06"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3. Tổng mức chi quy định tại khoản 1, 2 Điều này là mức chi được áp dụng cho việc xây dựng văn bản quy phạm pháp luật mới hoặc thay thế. Trường hợp xây dựng văn bản quy phạm pháp luật sửa đổi, bổ sung một số điều của văn bản quy phạm pháp luật thì áp dụng định mức khoán chi như sau:</w:t>
            </w:r>
          </w:p>
          <w:p w14:paraId="2D13EE6B"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a) Văn bản quy phạm pháp luật sửa đổi, bổ sung một số điều của 02 văn bản quy phạm pháp luật trở lên thì áp dụng mức chi bằng mức chi cho xây dựng 01 văn bản quy phạm pháp luật mới hoặc thay thế tương ứng quy định tại khoản 1, 2 Điều này;</w:t>
            </w:r>
          </w:p>
          <w:p w14:paraId="70AE4959"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b) Văn bản quy phạm pháp luật sửa đổi, bổ sung một số điều của 01 văn bản quy phạm pháp luật thì áp dụng bằng 60% mức chi trong xây dựng 01 văn bản quy phạm pháp luật tương ứng quy định tại khoản 1, 2  Điều này.</w:t>
            </w:r>
          </w:p>
          <w:p w14:paraId="6940CA4C" w14:textId="77777777" w:rsidR="002B03E4" w:rsidRPr="0098317C" w:rsidRDefault="002B03E4" w:rsidP="00B77C7A">
            <w:pPr>
              <w:pStyle w:val="NormalWeb"/>
              <w:spacing w:before="60" w:beforeAutospacing="0" w:after="60" w:afterAutospacing="0" w:line="288" w:lineRule="auto"/>
              <w:jc w:val="both"/>
              <w:rPr>
                <w:lang w:val="vi-VN"/>
              </w:rPr>
            </w:pPr>
            <w:r w:rsidRPr="0098317C">
              <w:rPr>
                <w:lang w:val="vi-VN"/>
              </w:rPr>
              <w:t>4. Văn bản quy phạm pháp luật bãi bỏ một phần hoặc bãi bỏ toàn bộ văn bản quy phạm pháp luật thì áp dụng tổng mức chi bằng 30% mức chi trong xây dựng 01 văn bản quy phạm pháp luật tương ứng quy định tại khoản 1, 2 Điều này.</w:t>
            </w:r>
          </w:p>
          <w:p w14:paraId="759DC642" w14:textId="77777777" w:rsidR="002B03E4" w:rsidRPr="0098317C" w:rsidRDefault="002B03E4" w:rsidP="00B77C7A">
            <w:pPr>
              <w:pStyle w:val="NormalWeb"/>
              <w:spacing w:before="60" w:beforeAutospacing="0" w:after="60" w:afterAutospacing="0" w:line="288" w:lineRule="auto"/>
              <w:jc w:val="both"/>
              <w:rPr>
                <w:rFonts w:eastAsia="Aptos"/>
                <w:kern w:val="2"/>
                <w:lang w:val="vi-VN"/>
              </w:rPr>
            </w:pPr>
          </w:p>
        </w:tc>
        <w:tc>
          <w:tcPr>
            <w:tcW w:w="1409" w:type="pct"/>
          </w:tcPr>
          <w:p w14:paraId="40CBCD75" w14:textId="77777777" w:rsidR="002B03E4" w:rsidRPr="0098317C" w:rsidRDefault="002B03E4" w:rsidP="00B77C7A">
            <w:pPr>
              <w:tabs>
                <w:tab w:val="left" w:pos="316"/>
                <w:tab w:val="left" w:pos="993"/>
              </w:tabs>
              <w:spacing w:before="60" w:after="60" w:line="288" w:lineRule="auto"/>
              <w:jc w:val="both"/>
              <w:rPr>
                <w:sz w:val="24"/>
                <w:szCs w:val="24"/>
                <w:lang w:val="vi-VN"/>
              </w:rPr>
            </w:pPr>
            <w:r w:rsidRPr="0098317C">
              <w:rPr>
                <w:bCs/>
                <w:sz w:val="24"/>
                <w:szCs w:val="24"/>
                <w:lang w:val="vi-VN"/>
              </w:rPr>
              <w:lastRenderedPageBreak/>
              <w:t xml:space="preserve">So với mức chi được quy định tại Mục III Phụ lục III Nghị quyết số 197/2025/QH15 (250 triệu đồng đối với Nghị quyết của HĐND cấp tỉnh; 100 triệu đồng đối với Quyết định của UBND cấp tỉnh), </w:t>
            </w:r>
            <w:r w:rsidRPr="0098317C">
              <w:rPr>
                <w:bCs/>
                <w:sz w:val="24"/>
                <w:szCs w:val="24"/>
              </w:rPr>
              <w:t xml:space="preserve">tổng </w:t>
            </w:r>
            <w:r w:rsidRPr="0098317C">
              <w:rPr>
                <w:bCs/>
                <w:sz w:val="24"/>
                <w:szCs w:val="24"/>
                <w:lang w:val="vi-VN"/>
              </w:rPr>
              <w:t>mức chi tại dự thảo Nghị quyết được xây dựng hoàn toàn phù hợp, giữ nguyên đúng định mức Trung ương đã quy định. Đối với Quyết định của Chủ tịch UBND cấp tỉnh, Nghị định số 289/2025/NĐ-CP chỉ đưa ra mức tham chiếu 30 triệu đồng</w:t>
            </w:r>
            <w:r w:rsidRPr="0098317C">
              <w:rPr>
                <w:bCs/>
                <w:sz w:val="24"/>
                <w:szCs w:val="24"/>
              </w:rPr>
              <w:t xml:space="preserve"> </w:t>
            </w:r>
            <w:r w:rsidRPr="0098317C">
              <w:rPr>
                <w:bCs/>
                <w:sz w:val="24"/>
                <w:szCs w:val="24"/>
                <w:lang w:val="vi-VN"/>
              </w:rPr>
              <w:t>và giao HĐND cấp tỉnh quyết định dựa trên khả năng cân đối ngân sách và yêu cầu thực tiễn.</w:t>
            </w:r>
          </w:p>
          <w:p w14:paraId="6595E887" w14:textId="77777777" w:rsidR="002B03E4" w:rsidRPr="0098317C" w:rsidRDefault="002B03E4" w:rsidP="00B77C7A">
            <w:pPr>
              <w:tabs>
                <w:tab w:val="left" w:pos="316"/>
                <w:tab w:val="left" w:pos="993"/>
              </w:tabs>
              <w:spacing w:before="60" w:after="60" w:line="288" w:lineRule="auto"/>
              <w:jc w:val="both"/>
              <w:rPr>
                <w:sz w:val="24"/>
                <w:szCs w:val="24"/>
              </w:rPr>
            </w:pPr>
          </w:p>
        </w:tc>
      </w:tr>
      <w:tr w:rsidR="002B03E4" w:rsidRPr="0098317C" w14:paraId="2E8D5224" w14:textId="77777777" w:rsidTr="00B77C7A">
        <w:tc>
          <w:tcPr>
            <w:tcW w:w="1773" w:type="pct"/>
          </w:tcPr>
          <w:p w14:paraId="6A7E89B9" w14:textId="77777777" w:rsidR="002B03E4" w:rsidRPr="0098317C" w:rsidRDefault="002B03E4" w:rsidP="00B77C7A">
            <w:pPr>
              <w:spacing w:before="60" w:after="60" w:line="288" w:lineRule="auto"/>
              <w:jc w:val="both"/>
              <w:rPr>
                <w:b/>
                <w:color w:val="000000"/>
                <w:sz w:val="24"/>
                <w:szCs w:val="24"/>
                <w:shd w:val="clear" w:color="auto" w:fill="FFFFFF"/>
              </w:rPr>
            </w:pPr>
            <w:r w:rsidRPr="0098317C">
              <w:rPr>
                <w:b/>
                <w:sz w:val="24"/>
                <w:szCs w:val="24"/>
              </w:rPr>
              <w:lastRenderedPageBreak/>
              <w:t xml:space="preserve">4. </w:t>
            </w:r>
            <w:r w:rsidRPr="0098317C">
              <w:rPr>
                <w:b/>
                <w:color w:val="000000"/>
                <w:sz w:val="24"/>
                <w:szCs w:val="24"/>
                <w:shd w:val="clear" w:color="auto" w:fill="FFFFFF"/>
              </w:rPr>
              <w:t>Kinh phí cho hoạt động thẩm định, thẩm tra đề nghị xây dựng văn bản quy phạm pháp luật, dự thảo văn bản quy phạm pháp luật cấp tỉnh</w:t>
            </w:r>
          </w:p>
          <w:p w14:paraId="13766802" w14:textId="77777777" w:rsidR="002B03E4" w:rsidRPr="0098317C" w:rsidRDefault="002B03E4" w:rsidP="00B77C7A">
            <w:pPr>
              <w:widowControl w:val="0"/>
              <w:spacing w:before="60" w:after="60" w:line="288" w:lineRule="auto"/>
              <w:jc w:val="both"/>
              <w:rPr>
                <w:sz w:val="24"/>
                <w:szCs w:val="24"/>
                <w:lang w:val="vi-VN"/>
              </w:rPr>
            </w:pPr>
            <w:r w:rsidRPr="0098317C">
              <w:rPr>
                <w:sz w:val="24"/>
                <w:szCs w:val="24"/>
                <w:lang w:val="vi-VN"/>
              </w:rPr>
              <w:t>a) Đối với đề nghị xây dựng nghị quyết của Hội đồng nhân dân tỉnh: Kinh phí thẩm định là 3,7 triệu đồng/dự thảo</w:t>
            </w:r>
            <w:r w:rsidRPr="0098317C">
              <w:rPr>
                <w:sz w:val="24"/>
                <w:szCs w:val="24"/>
              </w:rPr>
              <w:t xml:space="preserve"> (chiếm 19% tổng mức chi)</w:t>
            </w:r>
            <w:r w:rsidRPr="0098317C">
              <w:rPr>
                <w:sz w:val="24"/>
                <w:szCs w:val="24"/>
                <w:lang w:val="vi-VN"/>
              </w:rPr>
              <w:t>; kinh phí thẩm tra là 3,7 triệu đồng/dự thảo</w:t>
            </w:r>
            <w:r w:rsidRPr="0098317C">
              <w:rPr>
                <w:sz w:val="24"/>
                <w:szCs w:val="24"/>
              </w:rPr>
              <w:t xml:space="preserve"> (chiếm 19% tổng mức chi)</w:t>
            </w:r>
            <w:r w:rsidRPr="0098317C">
              <w:rPr>
                <w:sz w:val="24"/>
                <w:szCs w:val="24"/>
                <w:lang w:val="vi-VN"/>
              </w:rPr>
              <w:t>;</w:t>
            </w:r>
          </w:p>
          <w:p w14:paraId="4080DA7C" w14:textId="77777777" w:rsidR="002B03E4" w:rsidRPr="0098317C" w:rsidRDefault="002B03E4" w:rsidP="00B77C7A">
            <w:pPr>
              <w:widowControl w:val="0"/>
              <w:spacing w:before="60" w:after="60" w:line="288" w:lineRule="auto"/>
              <w:jc w:val="both"/>
              <w:rPr>
                <w:sz w:val="24"/>
                <w:szCs w:val="24"/>
                <w:lang w:val="vi-VN"/>
              </w:rPr>
            </w:pPr>
            <w:r w:rsidRPr="0098317C">
              <w:rPr>
                <w:sz w:val="24"/>
                <w:szCs w:val="24"/>
                <w:lang w:val="vi-VN"/>
              </w:rPr>
              <w:t>b) Đối với dự thảo nghị quyết của Hội đồng nhân dân tỉnh và quyết định của Ủy ban nhân dân tỉnh:</w:t>
            </w:r>
          </w:p>
          <w:p w14:paraId="2A4AA502" w14:textId="77777777" w:rsidR="002B03E4" w:rsidRPr="0098317C" w:rsidRDefault="002B03E4" w:rsidP="00B77C7A">
            <w:pPr>
              <w:widowControl w:val="0"/>
              <w:spacing w:before="60" w:after="60" w:line="288" w:lineRule="auto"/>
              <w:jc w:val="both"/>
              <w:rPr>
                <w:sz w:val="24"/>
                <w:szCs w:val="24"/>
                <w:lang w:val="vi-VN"/>
              </w:rPr>
            </w:pPr>
            <w:r w:rsidRPr="0098317C">
              <w:rPr>
                <w:sz w:val="24"/>
                <w:szCs w:val="24"/>
                <w:lang w:val="vi-VN"/>
              </w:rPr>
              <w:t>- Trường hợp ban hành mới hoặc thay thế: Kinh phí thẩm định là 2 triệu đồng/dự thảo</w:t>
            </w:r>
            <w:r w:rsidRPr="0098317C">
              <w:rPr>
                <w:sz w:val="24"/>
                <w:szCs w:val="24"/>
              </w:rPr>
              <w:t xml:space="preserve"> (chiếm 10%  tổng mức chi)</w:t>
            </w:r>
            <w:r w:rsidRPr="0098317C">
              <w:rPr>
                <w:sz w:val="24"/>
                <w:szCs w:val="24"/>
                <w:lang w:val="vi-VN"/>
              </w:rPr>
              <w:t>; kinh phí thẩm tra là 2 triệu đồng/dự thảo</w:t>
            </w:r>
            <w:r w:rsidRPr="0098317C">
              <w:rPr>
                <w:sz w:val="24"/>
                <w:szCs w:val="24"/>
              </w:rPr>
              <w:t xml:space="preserve"> (chiếm 10%  tổng mức chi)</w:t>
            </w:r>
            <w:r w:rsidRPr="0098317C">
              <w:rPr>
                <w:sz w:val="24"/>
                <w:szCs w:val="24"/>
                <w:lang w:val="vi-VN"/>
              </w:rPr>
              <w:t>;;</w:t>
            </w:r>
          </w:p>
          <w:p w14:paraId="0CA90F07" w14:textId="77777777" w:rsidR="002B03E4" w:rsidRPr="0098317C" w:rsidRDefault="002B03E4" w:rsidP="00B77C7A">
            <w:pPr>
              <w:widowControl w:val="0"/>
              <w:spacing w:before="60" w:after="60" w:line="288" w:lineRule="auto"/>
              <w:jc w:val="both"/>
              <w:rPr>
                <w:sz w:val="24"/>
                <w:szCs w:val="24"/>
                <w:lang w:val="vi-VN"/>
              </w:rPr>
            </w:pPr>
            <w:r w:rsidRPr="0098317C">
              <w:rPr>
                <w:sz w:val="24"/>
                <w:szCs w:val="24"/>
                <w:lang w:val="vi-VN"/>
              </w:rPr>
              <w:t>- Trường hợp sửa đổi, bổ sung: Kinh phí thẩm định là 1,5 triệu đồng/dự thảo</w:t>
            </w:r>
            <w:r w:rsidRPr="0098317C">
              <w:rPr>
                <w:sz w:val="24"/>
                <w:szCs w:val="24"/>
              </w:rPr>
              <w:t xml:space="preserve"> (chiếm 10%  tổng mức chi)</w:t>
            </w:r>
            <w:r w:rsidRPr="0098317C">
              <w:rPr>
                <w:sz w:val="24"/>
                <w:szCs w:val="24"/>
                <w:lang w:val="vi-VN"/>
              </w:rPr>
              <w:t>; kinh phí thẩm tra là 1,5 triệu đồng/dự thảo</w:t>
            </w:r>
            <w:r w:rsidRPr="0098317C">
              <w:rPr>
                <w:sz w:val="24"/>
                <w:szCs w:val="24"/>
              </w:rPr>
              <w:t xml:space="preserve"> (chiếm 10%  tổng mức chi)</w:t>
            </w:r>
            <w:r w:rsidRPr="0098317C">
              <w:rPr>
                <w:sz w:val="24"/>
                <w:szCs w:val="24"/>
                <w:lang w:val="vi-VN"/>
              </w:rPr>
              <w:t>;;</w:t>
            </w:r>
          </w:p>
          <w:p w14:paraId="4CB23617" w14:textId="77777777" w:rsidR="002B03E4" w:rsidRPr="0098317C" w:rsidRDefault="002B03E4" w:rsidP="00B77C7A">
            <w:pPr>
              <w:widowControl w:val="0"/>
              <w:spacing w:before="60" w:after="60" w:line="288" w:lineRule="auto"/>
              <w:jc w:val="both"/>
              <w:rPr>
                <w:sz w:val="24"/>
                <w:szCs w:val="24"/>
                <w:lang w:val="vi-VN"/>
              </w:rPr>
            </w:pPr>
            <w:r w:rsidRPr="0098317C">
              <w:rPr>
                <w:sz w:val="24"/>
                <w:szCs w:val="24"/>
                <w:lang w:val="vi-VN"/>
              </w:rPr>
              <w:t>c) Đối với các văn bản quy phạm pháp luật khác: Thủ trưởng cơ quan chủ trì soạn thảo quyết định mức kinh phí thẩm định, thẩm tra trong mức phân bổ cụ thể đối với từng loại văn bản quy phạm pháp luật.</w:t>
            </w:r>
          </w:p>
          <w:p w14:paraId="6BD1F32F" w14:textId="77777777" w:rsidR="002B03E4" w:rsidRPr="0098317C" w:rsidRDefault="002B03E4" w:rsidP="00B77C7A">
            <w:pPr>
              <w:widowControl w:val="0"/>
              <w:spacing w:before="60" w:after="60" w:line="288" w:lineRule="auto"/>
              <w:jc w:val="both"/>
              <w:rPr>
                <w:sz w:val="24"/>
                <w:szCs w:val="24"/>
              </w:rPr>
            </w:pPr>
          </w:p>
        </w:tc>
        <w:tc>
          <w:tcPr>
            <w:tcW w:w="1818" w:type="pct"/>
          </w:tcPr>
          <w:p w14:paraId="706B4250" w14:textId="77777777" w:rsidR="002B03E4" w:rsidRPr="0098317C" w:rsidRDefault="002B03E4" w:rsidP="00B77C7A">
            <w:pPr>
              <w:widowControl w:val="0"/>
              <w:spacing w:before="60" w:after="60" w:line="288" w:lineRule="auto"/>
              <w:jc w:val="both"/>
              <w:rPr>
                <w:b/>
                <w:bCs/>
                <w:sz w:val="24"/>
                <w:szCs w:val="24"/>
                <w:lang w:val="vi-VN"/>
              </w:rPr>
            </w:pPr>
            <w:r w:rsidRPr="0098317C">
              <w:rPr>
                <w:b/>
                <w:bCs/>
                <w:sz w:val="24"/>
                <w:szCs w:val="24"/>
                <w:lang w:val="vi-VN"/>
              </w:rPr>
              <w:t>4. Mức khoán chi đối với các nhiệm vụ, hoạt động trong quá trình xây dựng văn bản quy phạm pháp luật cấp tỉnh</w:t>
            </w:r>
          </w:p>
          <w:p w14:paraId="5DDBFB29" w14:textId="77777777" w:rsidR="002B03E4" w:rsidRPr="0098317C" w:rsidRDefault="002B03E4" w:rsidP="00B77C7A">
            <w:pPr>
              <w:widowControl w:val="0"/>
              <w:spacing w:before="60" w:after="60" w:line="288" w:lineRule="auto"/>
              <w:jc w:val="both"/>
              <w:rPr>
                <w:sz w:val="24"/>
                <w:szCs w:val="24"/>
                <w:lang w:val="vi-VN"/>
              </w:rPr>
            </w:pPr>
            <w:r>
              <w:rPr>
                <w:sz w:val="24"/>
                <w:szCs w:val="24"/>
              </w:rPr>
              <w:t>a)</w:t>
            </w:r>
            <w:r w:rsidRPr="0098317C">
              <w:rPr>
                <w:sz w:val="24"/>
                <w:szCs w:val="24"/>
                <w:lang w:val="vi-VN"/>
              </w:rPr>
              <w:t xml:space="preserve"> Mức khoán chi đối với các nhiệm vụ, hoạt động xây dựng Nghị quyết của HĐND tỉnh</w:t>
            </w:r>
          </w:p>
          <w:p w14:paraId="5B3F36B9" w14:textId="77777777" w:rsidR="002B03E4" w:rsidRPr="0098317C" w:rsidRDefault="002B03E4" w:rsidP="00B77C7A">
            <w:pPr>
              <w:widowControl w:val="0"/>
              <w:spacing w:before="60" w:after="60" w:line="288" w:lineRule="auto"/>
              <w:ind w:firstLine="720"/>
              <w:jc w:val="both"/>
              <w:rPr>
                <w:sz w:val="24"/>
                <w:szCs w:val="24"/>
                <w:lang w:val="vi-VN"/>
              </w:rPr>
            </w:pPr>
            <w:r w:rsidRPr="0098317C">
              <w:rPr>
                <w:sz w:val="24"/>
                <w:szCs w:val="24"/>
                <w:lang w:val="vi-VN"/>
              </w:rPr>
              <w:t>Công tác soạn thảo: 45% tổng mức chi; công tác thẩm định (thẩm định, lập danh mục và thẩm định nội dung Nghị quyết): 15% tổng mức chi;  công tác tham mưu khả năng cân đối nguồn tài chính: 10% tổng mức chi; công tác rà soát, tổng hợp, tổ chức họp, trình UBND tỉnh: 15% tổng mức chi; công tác thẩm tra, trình HĐND tỉnh thông qua: 15% tổng mức chi.</w:t>
            </w:r>
          </w:p>
          <w:p w14:paraId="23234774" w14:textId="77777777" w:rsidR="002B03E4" w:rsidRPr="0098317C" w:rsidRDefault="002B03E4" w:rsidP="00B77C7A">
            <w:pPr>
              <w:widowControl w:val="0"/>
              <w:spacing w:before="60" w:after="60" w:line="288" w:lineRule="auto"/>
              <w:jc w:val="both"/>
              <w:rPr>
                <w:sz w:val="24"/>
                <w:szCs w:val="24"/>
                <w:lang w:val="vi-VN"/>
              </w:rPr>
            </w:pPr>
            <w:r>
              <w:rPr>
                <w:sz w:val="24"/>
                <w:szCs w:val="24"/>
              </w:rPr>
              <w:t xml:space="preserve">b) </w:t>
            </w:r>
            <w:r w:rsidRPr="0098317C">
              <w:rPr>
                <w:sz w:val="24"/>
                <w:szCs w:val="24"/>
                <w:lang w:val="vi-VN"/>
              </w:rPr>
              <w:t>Mức khoán chi đối với các nhiệm vụ, hoạt động xây dựng Quyết định của UBND tỉnh, Chủ tịch UBND tỉnh</w:t>
            </w:r>
          </w:p>
          <w:p w14:paraId="1B78E45E" w14:textId="77777777" w:rsidR="002B03E4" w:rsidRPr="0098317C" w:rsidRDefault="002B03E4" w:rsidP="00B77C7A">
            <w:pPr>
              <w:widowControl w:val="0"/>
              <w:spacing w:before="60" w:after="60" w:line="288" w:lineRule="auto"/>
              <w:ind w:firstLine="720"/>
              <w:jc w:val="both"/>
              <w:rPr>
                <w:sz w:val="24"/>
                <w:szCs w:val="24"/>
                <w:lang w:val="vi-VN"/>
              </w:rPr>
            </w:pPr>
            <w:r w:rsidRPr="0098317C">
              <w:rPr>
                <w:sz w:val="24"/>
                <w:szCs w:val="24"/>
                <w:lang w:val="vi-VN"/>
              </w:rPr>
              <w:t>Công tác soạn thảo: 55% tổng mức chi; công tác thẩm định (thẩm định, lập danh mục và thẩm định nội dung Nghị quyết): 25% tổng mức chi; công tác rà soát, tổng hợp, tổ chức họp, trình UBND tỉnh: 20% tổng mức chi.</w:t>
            </w:r>
          </w:p>
          <w:p w14:paraId="07DD989C" w14:textId="77777777" w:rsidR="002B03E4" w:rsidRPr="0098317C" w:rsidRDefault="002B03E4" w:rsidP="00B77C7A">
            <w:pPr>
              <w:widowControl w:val="0"/>
              <w:spacing w:before="60" w:after="60" w:line="288" w:lineRule="auto"/>
              <w:jc w:val="both"/>
              <w:rPr>
                <w:sz w:val="24"/>
                <w:szCs w:val="24"/>
                <w:lang w:val="vi-VN"/>
              </w:rPr>
            </w:pPr>
          </w:p>
        </w:tc>
        <w:tc>
          <w:tcPr>
            <w:tcW w:w="1409" w:type="pct"/>
          </w:tcPr>
          <w:p w14:paraId="5B343D76" w14:textId="77777777" w:rsidR="002B03E4" w:rsidRPr="0098317C" w:rsidRDefault="002B03E4" w:rsidP="00B77C7A">
            <w:pPr>
              <w:widowControl w:val="0"/>
              <w:spacing w:before="60" w:after="60" w:line="288" w:lineRule="auto"/>
              <w:jc w:val="both"/>
              <w:rPr>
                <w:sz w:val="24"/>
                <w:szCs w:val="24"/>
                <w:lang w:val="vi-VN"/>
              </w:rPr>
            </w:pPr>
            <w:r w:rsidRPr="0098317C">
              <w:rPr>
                <w:sz w:val="24"/>
                <w:szCs w:val="24"/>
                <w:lang w:val="vi-VN"/>
              </w:rPr>
              <w:t>Căn cứ Điều 3, Điều 5 Nghị quyết số 197/2025/QH15, khoản 2 và khoản 4 Điều 5 Nghị định số 289/2025/NĐ-CP và trên cơ sở tổng mức chi cho công tác xây dựng, ban hành văn bản quy phạm pháp luật của Hội đồng nhân dân tỉnh, UBND tỉnh và Chủ tịch UBND tỉnh, Cơ quan soạn thảo xây dựng định mức khoán chi đối với từng nhiệm vụ của cơ quan có thẩm quyền đảm bảo nguyên tắc rõ ràng, dễ hiểu, dễ áp dụng.</w:t>
            </w:r>
          </w:p>
          <w:p w14:paraId="7E26B8D2" w14:textId="77777777" w:rsidR="002B03E4" w:rsidRPr="0098317C" w:rsidRDefault="002B03E4" w:rsidP="00B77C7A">
            <w:pPr>
              <w:widowControl w:val="0"/>
              <w:spacing w:before="60" w:after="60" w:line="288" w:lineRule="auto"/>
              <w:jc w:val="both"/>
              <w:rPr>
                <w:sz w:val="24"/>
                <w:szCs w:val="24"/>
                <w:lang w:val="vi-VN"/>
              </w:rPr>
            </w:pPr>
            <w:r w:rsidRPr="0098317C">
              <w:rPr>
                <w:sz w:val="24"/>
                <w:szCs w:val="24"/>
                <w:lang w:val="vi-VN"/>
              </w:rPr>
              <w:t xml:space="preserve"> </w:t>
            </w:r>
          </w:p>
        </w:tc>
      </w:tr>
      <w:tr w:rsidR="002B03E4" w:rsidRPr="0098317C" w14:paraId="6013EA74" w14:textId="77777777" w:rsidTr="00B77C7A">
        <w:tc>
          <w:tcPr>
            <w:tcW w:w="1773" w:type="pct"/>
          </w:tcPr>
          <w:p w14:paraId="7E9500AC" w14:textId="77777777" w:rsidR="002B03E4" w:rsidRPr="0098317C" w:rsidRDefault="002B03E4" w:rsidP="00B77C7A">
            <w:pPr>
              <w:shd w:val="clear" w:color="auto" w:fill="FFFFFF"/>
              <w:spacing w:before="60" w:after="60" w:line="288" w:lineRule="auto"/>
              <w:jc w:val="both"/>
              <w:rPr>
                <w:color w:val="000000"/>
                <w:sz w:val="24"/>
                <w:szCs w:val="24"/>
              </w:rPr>
            </w:pPr>
            <w:bookmarkStart w:id="0" w:name="dieu_5"/>
            <w:r>
              <w:rPr>
                <w:b/>
                <w:bCs/>
                <w:color w:val="000000"/>
                <w:sz w:val="24"/>
                <w:szCs w:val="24"/>
              </w:rPr>
              <w:t>5</w:t>
            </w:r>
            <w:r w:rsidRPr="0098317C">
              <w:rPr>
                <w:b/>
                <w:bCs/>
                <w:color w:val="000000"/>
                <w:sz w:val="24"/>
                <w:szCs w:val="24"/>
                <w:lang w:val="vi-VN"/>
              </w:rPr>
              <w:t xml:space="preserve">. </w:t>
            </w:r>
            <w:r w:rsidRPr="0098317C">
              <w:rPr>
                <w:b/>
                <w:bCs/>
                <w:color w:val="000000"/>
                <w:sz w:val="24"/>
                <w:szCs w:val="24"/>
              </w:rPr>
              <w:t>Nguồn kinh phí thực hiện</w:t>
            </w:r>
            <w:bookmarkEnd w:id="0"/>
          </w:p>
          <w:p w14:paraId="3547BF45" w14:textId="77777777" w:rsidR="002B03E4" w:rsidRPr="0098317C" w:rsidRDefault="002B03E4" w:rsidP="00B77C7A">
            <w:pPr>
              <w:shd w:val="clear" w:color="auto" w:fill="FFFFFF"/>
              <w:spacing w:before="60" w:after="60" w:line="288" w:lineRule="auto"/>
              <w:jc w:val="both"/>
              <w:rPr>
                <w:b/>
                <w:sz w:val="24"/>
                <w:szCs w:val="24"/>
              </w:rPr>
            </w:pPr>
            <w:r w:rsidRPr="0098317C">
              <w:rPr>
                <w:color w:val="000000"/>
                <w:sz w:val="24"/>
                <w:szCs w:val="24"/>
              </w:rPr>
              <w:lastRenderedPageBreak/>
              <w:t xml:space="preserve">Thực hiện theo Thông tư </w:t>
            </w:r>
            <w:r w:rsidRPr="0098317C">
              <w:rPr>
                <w:bCs/>
                <w:sz w:val="24"/>
                <w:szCs w:val="24"/>
              </w:rPr>
              <w:t>Thông tư số 338/2016/TT-BTC ngày 28/12/2016 của Bộ trưởng Bộ Tài chính (được sửa đổi, bổ sung bởi Thông tư số </w:t>
            </w:r>
            <w:hyperlink r:id="rId4" w:tgtFrame="_blank" w:tooltip="Thông tư 42/2022/TT-BTC" w:history="1">
              <w:r w:rsidRPr="0098317C">
                <w:rPr>
                  <w:rStyle w:val="Hyperlink"/>
                  <w:bCs/>
                  <w:color w:val="auto"/>
                  <w:sz w:val="24"/>
                  <w:szCs w:val="24"/>
                  <w:u w:val="none"/>
                </w:rPr>
                <w:t>42/2022/TT-BTC</w:t>
              </w:r>
            </w:hyperlink>
            <w:r w:rsidRPr="0098317C">
              <w:rPr>
                <w:bCs/>
                <w:sz w:val="24"/>
                <w:szCs w:val="24"/>
              </w:rPr>
              <w:t>).</w:t>
            </w:r>
          </w:p>
        </w:tc>
        <w:tc>
          <w:tcPr>
            <w:tcW w:w="1818" w:type="pct"/>
          </w:tcPr>
          <w:p w14:paraId="1C818C6A" w14:textId="77777777" w:rsidR="002B03E4" w:rsidRPr="0098317C" w:rsidRDefault="002B03E4" w:rsidP="00B77C7A">
            <w:pPr>
              <w:shd w:val="clear" w:color="auto" w:fill="FFFFFF"/>
              <w:spacing w:before="60" w:after="60" w:line="288" w:lineRule="auto"/>
              <w:jc w:val="both"/>
              <w:rPr>
                <w:b/>
                <w:bCs/>
                <w:color w:val="000000"/>
                <w:sz w:val="24"/>
                <w:szCs w:val="24"/>
              </w:rPr>
            </w:pPr>
            <w:r w:rsidRPr="0098317C">
              <w:rPr>
                <w:b/>
                <w:bCs/>
                <w:color w:val="000000"/>
                <w:sz w:val="24"/>
                <w:szCs w:val="24"/>
                <w:lang w:val="vi-VN"/>
              </w:rPr>
              <w:lastRenderedPageBreak/>
              <w:t xml:space="preserve">5. Nguồn kinh phí </w:t>
            </w:r>
            <w:r>
              <w:rPr>
                <w:b/>
                <w:bCs/>
                <w:color w:val="000000"/>
                <w:sz w:val="24"/>
                <w:szCs w:val="24"/>
              </w:rPr>
              <w:t>thực hiện</w:t>
            </w:r>
          </w:p>
          <w:p w14:paraId="30F489E3" w14:textId="77777777" w:rsidR="002B03E4" w:rsidRPr="0098317C" w:rsidRDefault="002B03E4" w:rsidP="00B77C7A">
            <w:pPr>
              <w:shd w:val="clear" w:color="auto" w:fill="FFFFFF"/>
              <w:spacing w:before="60" w:after="60" w:line="288" w:lineRule="auto"/>
              <w:jc w:val="both"/>
              <w:rPr>
                <w:color w:val="000000"/>
                <w:sz w:val="24"/>
                <w:szCs w:val="24"/>
              </w:rPr>
            </w:pPr>
            <w:r w:rsidRPr="0098317C">
              <w:rPr>
                <w:color w:val="000000"/>
                <w:sz w:val="24"/>
                <w:szCs w:val="24"/>
              </w:rPr>
              <w:lastRenderedPageBreak/>
              <w:t>Thực hiện theo Luật Ngân sách nhà nước và Nghị định số 289/2025/NĐ-CP, được quy định cụ thể trong Điều 4 dự thảo để rõ ràng khi tổ chức thực hiện</w:t>
            </w:r>
          </w:p>
          <w:p w14:paraId="305A98F7" w14:textId="77777777" w:rsidR="002B03E4" w:rsidRPr="0098317C" w:rsidRDefault="002B03E4" w:rsidP="00B77C7A">
            <w:pPr>
              <w:spacing w:before="60" w:after="60" w:line="288" w:lineRule="auto"/>
              <w:jc w:val="both"/>
              <w:rPr>
                <w:sz w:val="24"/>
                <w:szCs w:val="24"/>
              </w:rPr>
            </w:pPr>
            <w:r>
              <w:rPr>
                <w:sz w:val="24"/>
                <w:szCs w:val="24"/>
              </w:rPr>
              <w:t>a)</w:t>
            </w:r>
            <w:r w:rsidRPr="0098317C">
              <w:rPr>
                <w:sz w:val="24"/>
                <w:szCs w:val="24"/>
              </w:rPr>
              <w:t xml:space="preserve"> Nguồn kinh phí cho công tác xây dựng văn bản quy phạm pháp luật của Hội đồng nhân dân tỉnh, Ủy ban nhân dân tỉnh và Chủ tịch UBND tỉnh do ngân sách cấp tỉnh đảm bảo theo quy định của Luật Ngân sách nhà nước và các văn bản pháp luật liên quan.</w:t>
            </w:r>
          </w:p>
          <w:p w14:paraId="1EAB0ADB" w14:textId="77777777" w:rsidR="002B03E4" w:rsidRPr="0098317C" w:rsidRDefault="002B03E4" w:rsidP="00B77C7A">
            <w:pPr>
              <w:spacing w:before="60" w:after="60" w:line="288" w:lineRule="auto"/>
              <w:jc w:val="both"/>
              <w:rPr>
                <w:sz w:val="24"/>
                <w:szCs w:val="24"/>
              </w:rPr>
            </w:pPr>
            <w:r>
              <w:rPr>
                <w:sz w:val="24"/>
                <w:szCs w:val="24"/>
              </w:rPr>
              <w:t xml:space="preserve">b) </w:t>
            </w:r>
            <w:r w:rsidRPr="0098317C">
              <w:rPr>
                <w:sz w:val="24"/>
                <w:szCs w:val="24"/>
              </w:rPr>
              <w:t>Việc thanh, quyết toán kinh phí theo phương thức khoán chi đối với từng nhiệm vụ, hoạt động quy định tại Phụ lục IV ban hành kèm theo Nghị quyết này được thực hiện theo quy định tại khoản 3 Điều 7 Nghị định số 289/2025/NĐ-CP.</w:t>
            </w:r>
          </w:p>
          <w:p w14:paraId="22CC4635" w14:textId="77777777" w:rsidR="002B03E4" w:rsidRPr="0098317C" w:rsidRDefault="002B03E4" w:rsidP="00B77C7A">
            <w:pPr>
              <w:shd w:val="clear" w:color="auto" w:fill="FFFFFF"/>
              <w:spacing w:before="60" w:after="60" w:line="288" w:lineRule="auto"/>
              <w:jc w:val="both"/>
              <w:rPr>
                <w:kern w:val="2"/>
                <w:sz w:val="24"/>
                <w:szCs w:val="24"/>
                <w:lang w:val="vi-VN"/>
              </w:rPr>
            </w:pPr>
          </w:p>
        </w:tc>
        <w:tc>
          <w:tcPr>
            <w:tcW w:w="1409" w:type="pct"/>
          </w:tcPr>
          <w:p w14:paraId="11AE2025" w14:textId="77777777" w:rsidR="002B03E4" w:rsidRPr="0098317C" w:rsidRDefault="002B03E4" w:rsidP="00B77C7A">
            <w:pPr>
              <w:widowControl w:val="0"/>
              <w:spacing w:before="60" w:after="60" w:line="288" w:lineRule="auto"/>
              <w:jc w:val="both"/>
              <w:rPr>
                <w:sz w:val="24"/>
                <w:szCs w:val="24"/>
                <w:lang w:val="vi-VN"/>
              </w:rPr>
            </w:pPr>
            <w:r w:rsidRPr="0098317C">
              <w:rPr>
                <w:kern w:val="2"/>
                <w:sz w:val="24"/>
                <w:szCs w:val="24"/>
              </w:rPr>
              <w:lastRenderedPageBreak/>
              <w:t>Đảm bảo phù hợp</w:t>
            </w:r>
            <w:r w:rsidRPr="0098317C">
              <w:rPr>
                <w:kern w:val="2"/>
                <w:sz w:val="24"/>
                <w:szCs w:val="24"/>
                <w:lang w:val="vi-VN"/>
              </w:rPr>
              <w:t xml:space="preserve"> với Luật Ngân sách nhà </w:t>
            </w:r>
            <w:r w:rsidRPr="0098317C">
              <w:rPr>
                <w:kern w:val="2"/>
                <w:sz w:val="24"/>
                <w:szCs w:val="24"/>
                <w:lang w:val="vi-VN"/>
              </w:rPr>
              <w:lastRenderedPageBreak/>
              <w:t xml:space="preserve">nước và </w:t>
            </w:r>
            <w:r w:rsidRPr="0098317C">
              <w:rPr>
                <w:kern w:val="2"/>
                <w:sz w:val="24"/>
                <w:szCs w:val="24"/>
              </w:rPr>
              <w:t xml:space="preserve">khoản 4 Điều 2, khoản 3 Điều 7 </w:t>
            </w:r>
            <w:r w:rsidRPr="0098317C">
              <w:rPr>
                <w:kern w:val="2"/>
                <w:sz w:val="24"/>
                <w:szCs w:val="24"/>
                <w:lang w:val="vi-VN"/>
              </w:rPr>
              <w:t>Nghị định số 289/2025/NĐ-CP.</w:t>
            </w:r>
          </w:p>
        </w:tc>
      </w:tr>
      <w:tr w:rsidR="002B03E4" w:rsidRPr="0098317C" w14:paraId="0077ACFF" w14:textId="77777777" w:rsidTr="00B77C7A">
        <w:tc>
          <w:tcPr>
            <w:tcW w:w="1773" w:type="pct"/>
          </w:tcPr>
          <w:p w14:paraId="77165B20" w14:textId="77777777" w:rsidR="002B03E4" w:rsidRPr="0098317C" w:rsidRDefault="002B03E4" w:rsidP="00B77C7A">
            <w:pPr>
              <w:widowControl w:val="0"/>
              <w:spacing w:before="60" w:after="60" w:line="288" w:lineRule="auto"/>
              <w:jc w:val="both"/>
              <w:rPr>
                <w:b/>
                <w:bCs/>
                <w:sz w:val="24"/>
                <w:szCs w:val="24"/>
              </w:rPr>
            </w:pPr>
            <w:r w:rsidRPr="0098317C">
              <w:rPr>
                <w:b/>
                <w:bCs/>
                <w:sz w:val="24"/>
                <w:szCs w:val="24"/>
              </w:rPr>
              <w:lastRenderedPageBreak/>
              <w:t>6. Điều khoản chuyển tiếp</w:t>
            </w:r>
          </w:p>
          <w:p w14:paraId="2FB2C58D" w14:textId="77777777" w:rsidR="002B03E4" w:rsidRPr="0098317C" w:rsidRDefault="002B03E4" w:rsidP="00B77C7A">
            <w:pPr>
              <w:widowControl w:val="0"/>
              <w:spacing w:before="60" w:after="60" w:line="288" w:lineRule="auto"/>
              <w:jc w:val="both"/>
              <w:rPr>
                <w:sz w:val="24"/>
                <w:szCs w:val="24"/>
              </w:rPr>
            </w:pPr>
            <w:r w:rsidRPr="0098317C">
              <w:rPr>
                <w:sz w:val="24"/>
                <w:szCs w:val="24"/>
              </w:rPr>
              <w:t>Không có quy định</w:t>
            </w:r>
          </w:p>
        </w:tc>
        <w:tc>
          <w:tcPr>
            <w:tcW w:w="1818" w:type="pct"/>
          </w:tcPr>
          <w:p w14:paraId="78516D7D" w14:textId="77777777" w:rsidR="002B03E4" w:rsidRPr="0098317C" w:rsidRDefault="002B03E4" w:rsidP="00B77C7A">
            <w:pPr>
              <w:widowControl w:val="0"/>
              <w:spacing w:before="60" w:after="60" w:line="288" w:lineRule="auto"/>
              <w:jc w:val="both"/>
              <w:rPr>
                <w:b/>
                <w:sz w:val="24"/>
                <w:szCs w:val="24"/>
              </w:rPr>
            </w:pPr>
            <w:r w:rsidRPr="0098317C">
              <w:rPr>
                <w:b/>
                <w:sz w:val="24"/>
                <w:szCs w:val="24"/>
                <w:lang w:val="vi-VN"/>
              </w:rPr>
              <w:t xml:space="preserve">6. </w:t>
            </w:r>
            <w:r w:rsidRPr="0098317C">
              <w:rPr>
                <w:b/>
                <w:sz w:val="24"/>
                <w:szCs w:val="24"/>
              </w:rPr>
              <w:t xml:space="preserve">Điều khoản chuyển tiếp </w:t>
            </w:r>
          </w:p>
          <w:p w14:paraId="10ED2C2E" w14:textId="7C9F09A3" w:rsidR="00E63D08" w:rsidRPr="00E63D08" w:rsidRDefault="002B03E4" w:rsidP="00E63D08">
            <w:pPr>
              <w:spacing w:before="120" w:after="120" w:line="288" w:lineRule="auto"/>
              <w:ind w:firstLine="720"/>
              <w:jc w:val="both"/>
              <w:rPr>
                <w:bCs/>
                <w:sz w:val="24"/>
                <w:szCs w:val="24"/>
              </w:rPr>
            </w:pPr>
            <w:r w:rsidRPr="00E63D08">
              <w:rPr>
                <w:spacing w:val="-4"/>
                <w:sz w:val="24"/>
                <w:szCs w:val="24"/>
              </w:rPr>
              <w:t xml:space="preserve">Đối với các hoạt động chi cho công tác xây dựng, ban hành văn bản quy phạm pháp luật của Hội đồng nhân dân tỉnh, Ủy ban nhân dân tỉnh, Chủ tịch Ủy ban nhân dân tỉnh </w:t>
            </w:r>
            <w:r w:rsidR="00E63D08" w:rsidRPr="00E63D08">
              <w:rPr>
                <w:sz w:val="24"/>
                <w:szCs w:val="24"/>
              </w:rPr>
              <w:t xml:space="preserve">được ban hành trước ngày Nghị quyết này có hiệu lực thi hành mà chưa được thanh, quyết toán thì được thanh,  quyết toán theo mức chi quy định tại </w:t>
            </w:r>
            <w:r w:rsidR="00E63D08" w:rsidRPr="00E63D08">
              <w:rPr>
                <w:bCs/>
                <w:sz w:val="24"/>
                <w:szCs w:val="24"/>
              </w:rPr>
              <w:t xml:space="preserve">Nghị quyết số 23/2022/NQ-HĐND ngày 12/11/2022 quy định mức phân bổ kinh phí từ nguồn ngân sách nhà nước đảm bảo </w:t>
            </w:r>
            <w:r w:rsidR="00E63D08" w:rsidRPr="00E63D08">
              <w:rPr>
                <w:bCs/>
                <w:sz w:val="24"/>
                <w:szCs w:val="24"/>
              </w:rPr>
              <w:lastRenderedPageBreak/>
              <w:t>cho công tác xây dựng văn bản quy phạm pháp luật và hoàn thiện hệ thống pháp luật trên địa bàn tỉnh Nghệ An.</w:t>
            </w:r>
          </w:p>
          <w:p w14:paraId="11FA9233" w14:textId="75C49E99" w:rsidR="002B03E4" w:rsidRPr="0098317C" w:rsidRDefault="002B03E4" w:rsidP="00E63D08">
            <w:pPr>
              <w:widowControl w:val="0"/>
              <w:spacing w:before="60" w:after="60" w:line="288" w:lineRule="auto"/>
              <w:jc w:val="both"/>
              <w:rPr>
                <w:rFonts w:eastAsia="Aptos"/>
                <w:kern w:val="2"/>
                <w:sz w:val="24"/>
                <w:szCs w:val="24"/>
                <w:lang w:val="vi-VN"/>
              </w:rPr>
            </w:pPr>
          </w:p>
        </w:tc>
        <w:tc>
          <w:tcPr>
            <w:tcW w:w="1409" w:type="pct"/>
          </w:tcPr>
          <w:p w14:paraId="54C764ED" w14:textId="7DE99CA7" w:rsidR="002B03E4" w:rsidRPr="00D74D00" w:rsidRDefault="002B03E4" w:rsidP="00B77C7A">
            <w:pPr>
              <w:widowControl w:val="0"/>
              <w:spacing w:before="60" w:after="60" w:line="288" w:lineRule="auto"/>
              <w:jc w:val="both"/>
              <w:rPr>
                <w:sz w:val="24"/>
                <w:szCs w:val="24"/>
              </w:rPr>
            </w:pPr>
            <w:r w:rsidRPr="0098317C">
              <w:rPr>
                <w:sz w:val="24"/>
                <w:szCs w:val="24"/>
                <w:lang w:val="vi-VN"/>
              </w:rPr>
              <w:lastRenderedPageBreak/>
              <w:t>Việc bổ sung điều khoản chuyển tiếp như dự thảo là cần thiết</w:t>
            </w:r>
            <w:r>
              <w:rPr>
                <w:sz w:val="24"/>
                <w:szCs w:val="24"/>
              </w:rPr>
              <w:t xml:space="preserve">. </w:t>
            </w:r>
          </w:p>
        </w:tc>
      </w:tr>
      <w:tr w:rsidR="002B03E4" w:rsidRPr="0098317C" w14:paraId="2CFE7505" w14:textId="77777777" w:rsidTr="00B77C7A">
        <w:tc>
          <w:tcPr>
            <w:tcW w:w="1773" w:type="pct"/>
          </w:tcPr>
          <w:p w14:paraId="0A345E66" w14:textId="77777777" w:rsidR="002B03E4" w:rsidRPr="0098317C" w:rsidRDefault="002B03E4" w:rsidP="00B77C7A">
            <w:pPr>
              <w:shd w:val="clear" w:color="auto" w:fill="FFFFFF"/>
              <w:spacing w:before="60" w:after="60" w:line="288" w:lineRule="auto"/>
              <w:jc w:val="both"/>
              <w:rPr>
                <w:color w:val="000000"/>
                <w:sz w:val="24"/>
                <w:szCs w:val="24"/>
              </w:rPr>
            </w:pPr>
            <w:bookmarkStart w:id="1" w:name="dieu_6"/>
            <w:r>
              <w:rPr>
                <w:b/>
                <w:bCs/>
                <w:color w:val="000000"/>
                <w:sz w:val="24"/>
                <w:szCs w:val="24"/>
              </w:rPr>
              <w:t>7</w:t>
            </w:r>
            <w:r w:rsidRPr="0098317C">
              <w:rPr>
                <w:b/>
                <w:bCs/>
                <w:color w:val="000000"/>
                <w:sz w:val="24"/>
                <w:szCs w:val="24"/>
              </w:rPr>
              <w:t>. Tổ chức thực hiện</w:t>
            </w:r>
            <w:bookmarkEnd w:id="1"/>
          </w:p>
          <w:p w14:paraId="16162588" w14:textId="77777777" w:rsidR="002B03E4" w:rsidRPr="0098317C" w:rsidRDefault="002B03E4" w:rsidP="00B77C7A">
            <w:pPr>
              <w:shd w:val="clear" w:color="auto" w:fill="FFFFFF"/>
              <w:spacing w:before="60" w:after="60" w:line="288" w:lineRule="auto"/>
              <w:jc w:val="both"/>
              <w:rPr>
                <w:sz w:val="24"/>
                <w:szCs w:val="24"/>
                <w:lang w:val="vi-VN"/>
              </w:rPr>
            </w:pPr>
            <w:r>
              <w:rPr>
                <w:sz w:val="24"/>
                <w:szCs w:val="24"/>
              </w:rPr>
              <w:t xml:space="preserve">a) </w:t>
            </w:r>
            <w:r w:rsidRPr="0098317C">
              <w:rPr>
                <w:sz w:val="24"/>
                <w:szCs w:val="24"/>
                <w:lang w:val="vi-VN"/>
              </w:rPr>
              <w:t>Giao Ủy ban nhân dân tỉnh tổ chức triển khai thực hiện Nghị quyết này.</w:t>
            </w:r>
          </w:p>
          <w:p w14:paraId="6AAA9367" w14:textId="77777777" w:rsidR="002B03E4" w:rsidRPr="0098317C" w:rsidRDefault="002B03E4" w:rsidP="00B77C7A">
            <w:pPr>
              <w:shd w:val="clear" w:color="auto" w:fill="FFFFFF"/>
              <w:spacing w:before="60" w:after="60" w:line="288" w:lineRule="auto"/>
              <w:jc w:val="both"/>
              <w:rPr>
                <w:sz w:val="24"/>
                <w:szCs w:val="24"/>
                <w:lang w:val="vi-VN"/>
              </w:rPr>
            </w:pPr>
            <w:r>
              <w:rPr>
                <w:sz w:val="24"/>
                <w:szCs w:val="24"/>
              </w:rPr>
              <w:t>b)</w:t>
            </w:r>
            <w:r w:rsidRPr="0098317C">
              <w:rPr>
                <w:sz w:val="24"/>
                <w:szCs w:val="24"/>
                <w:lang w:val="vi-VN"/>
              </w:rPr>
              <w:t xml:space="preserve"> Giao Thường trực Hội đồng nhân dân tỉnh, các Ban của Hội đồng nhân dân tỉnh, các Tổ đại biểu Hội đồng nhân dân tỉnh và đại biểu Hội đồng nhân dân tỉnh giám sát việc thực hiện Nghị quyết này.</w:t>
            </w:r>
          </w:p>
          <w:p w14:paraId="2CE5D96E" w14:textId="77777777" w:rsidR="002B03E4" w:rsidRPr="0098317C" w:rsidRDefault="002B03E4" w:rsidP="00B77C7A">
            <w:pPr>
              <w:shd w:val="clear" w:color="auto" w:fill="FFFFFF"/>
              <w:spacing w:before="60" w:after="60" w:line="288" w:lineRule="auto"/>
              <w:jc w:val="both"/>
              <w:rPr>
                <w:sz w:val="24"/>
                <w:szCs w:val="24"/>
                <w:lang w:val="vi-VN"/>
              </w:rPr>
            </w:pPr>
          </w:p>
        </w:tc>
        <w:tc>
          <w:tcPr>
            <w:tcW w:w="1818" w:type="pct"/>
          </w:tcPr>
          <w:p w14:paraId="08D32EA0" w14:textId="77777777" w:rsidR="002B03E4" w:rsidRDefault="002B03E4" w:rsidP="00B77C7A">
            <w:pPr>
              <w:shd w:val="clear" w:color="auto" w:fill="FFFFFF"/>
              <w:spacing w:before="60" w:after="60" w:line="288" w:lineRule="auto"/>
              <w:jc w:val="both"/>
              <w:rPr>
                <w:b/>
                <w:bCs/>
                <w:color w:val="000000"/>
                <w:sz w:val="24"/>
                <w:szCs w:val="24"/>
              </w:rPr>
            </w:pPr>
            <w:r>
              <w:rPr>
                <w:b/>
                <w:bCs/>
                <w:color w:val="000000"/>
                <w:sz w:val="24"/>
                <w:szCs w:val="24"/>
              </w:rPr>
              <w:t>7</w:t>
            </w:r>
            <w:r w:rsidRPr="0098317C">
              <w:rPr>
                <w:b/>
                <w:bCs/>
                <w:color w:val="000000"/>
                <w:sz w:val="24"/>
                <w:szCs w:val="24"/>
                <w:lang w:val="vi-VN"/>
              </w:rPr>
              <w:t xml:space="preserve">. Tổ chức thực hiện </w:t>
            </w:r>
          </w:p>
          <w:p w14:paraId="28B0658D" w14:textId="77777777" w:rsidR="002B03E4" w:rsidRPr="0098317C" w:rsidRDefault="002B03E4" w:rsidP="00B77C7A">
            <w:pPr>
              <w:shd w:val="clear" w:color="auto" w:fill="FFFFFF"/>
              <w:spacing w:before="60" w:after="60" w:line="288" w:lineRule="auto"/>
              <w:jc w:val="both"/>
              <w:rPr>
                <w:b/>
                <w:bCs/>
                <w:color w:val="000000"/>
                <w:sz w:val="24"/>
                <w:szCs w:val="24"/>
                <w:lang w:val="vi-VN"/>
              </w:rPr>
            </w:pPr>
            <w:r>
              <w:rPr>
                <w:kern w:val="2"/>
                <w:sz w:val="24"/>
                <w:szCs w:val="24"/>
              </w:rPr>
              <w:t>a)</w:t>
            </w:r>
            <w:r w:rsidRPr="0098317C">
              <w:rPr>
                <w:rFonts w:eastAsia="Aptos"/>
                <w:kern w:val="2"/>
                <w:sz w:val="24"/>
                <w:szCs w:val="24"/>
                <w:lang w:val="vi-VN"/>
              </w:rPr>
              <w:t xml:space="preserve"> Giao Ủy ban nhân dân tỉnh tổ chức triển khai thực hiện Nghị quyết này.</w:t>
            </w:r>
          </w:p>
          <w:p w14:paraId="12349942" w14:textId="77777777" w:rsidR="002B03E4" w:rsidRPr="0098317C" w:rsidRDefault="002B03E4" w:rsidP="00B77C7A">
            <w:pPr>
              <w:shd w:val="clear" w:color="auto" w:fill="FFFFFF"/>
              <w:spacing w:before="60" w:after="60" w:line="288" w:lineRule="auto"/>
              <w:jc w:val="both"/>
              <w:rPr>
                <w:rFonts w:eastAsia="Aptos"/>
                <w:kern w:val="2"/>
                <w:sz w:val="24"/>
                <w:szCs w:val="24"/>
                <w:lang w:val="vi-VN"/>
              </w:rPr>
            </w:pPr>
            <w:r>
              <w:rPr>
                <w:rFonts w:eastAsia="Aptos"/>
                <w:kern w:val="2"/>
                <w:sz w:val="24"/>
                <w:szCs w:val="24"/>
              </w:rPr>
              <w:t>b)</w:t>
            </w:r>
            <w:r w:rsidRPr="0098317C">
              <w:rPr>
                <w:rFonts w:eastAsia="Aptos"/>
                <w:kern w:val="2"/>
                <w:sz w:val="24"/>
                <w:szCs w:val="24"/>
                <w:lang w:val="vi-VN"/>
              </w:rPr>
              <w:t xml:space="preserve"> Giao Thường trực Hội đồng nhân dân tỉnh, các Ban của Hội đồng nhân dân tỉnh, các Tổ đại biểu Hội đồng nhân dân tỉnh và đại biểu Hội đồng nhân dân tỉnh giám sát việc thực hiện Nghị quyết này.</w:t>
            </w:r>
          </w:p>
          <w:p w14:paraId="06E833F3" w14:textId="77777777" w:rsidR="002B03E4" w:rsidRPr="0098317C" w:rsidRDefault="002B03E4" w:rsidP="00B77C7A">
            <w:pPr>
              <w:shd w:val="clear" w:color="auto" w:fill="FFFFFF"/>
              <w:spacing w:before="60" w:after="60" w:line="288" w:lineRule="auto"/>
              <w:jc w:val="both"/>
              <w:rPr>
                <w:rFonts w:eastAsia="Aptos"/>
                <w:kern w:val="2"/>
                <w:sz w:val="24"/>
                <w:szCs w:val="24"/>
                <w:lang w:val="vi-VN"/>
              </w:rPr>
            </w:pPr>
          </w:p>
        </w:tc>
        <w:tc>
          <w:tcPr>
            <w:tcW w:w="1409" w:type="pct"/>
          </w:tcPr>
          <w:p w14:paraId="151DA2E2" w14:textId="77777777" w:rsidR="002B03E4" w:rsidRPr="0098317C" w:rsidRDefault="002B03E4" w:rsidP="00B77C7A">
            <w:pPr>
              <w:widowControl w:val="0"/>
              <w:spacing w:before="60" w:after="60" w:line="288" w:lineRule="auto"/>
              <w:jc w:val="both"/>
              <w:rPr>
                <w:sz w:val="24"/>
                <w:szCs w:val="24"/>
                <w:lang w:val="vi-VN"/>
              </w:rPr>
            </w:pPr>
            <w:r w:rsidRPr="0098317C">
              <w:rPr>
                <w:sz w:val="24"/>
                <w:szCs w:val="24"/>
              </w:rPr>
              <w:t xml:space="preserve">Giữ nguyên </w:t>
            </w:r>
          </w:p>
        </w:tc>
      </w:tr>
    </w:tbl>
    <w:p w14:paraId="38DC0E25" w14:textId="77777777" w:rsidR="002B03E4" w:rsidRPr="005458B7" w:rsidRDefault="002B03E4" w:rsidP="002B03E4">
      <w:pPr>
        <w:rPr>
          <w:lang w:val="vi-VN"/>
        </w:rPr>
      </w:pPr>
    </w:p>
    <w:p w14:paraId="6D17664C" w14:textId="77777777" w:rsidR="002B03E4" w:rsidRDefault="002B03E4" w:rsidP="002B03E4"/>
    <w:p w14:paraId="4A80EFB1" w14:textId="77777777" w:rsidR="00F97CC3" w:rsidRDefault="00F97CC3"/>
    <w:sectPr w:rsidR="00F97CC3" w:rsidSect="002B03E4">
      <w:headerReference w:type="default" r:id="rId5"/>
      <w:pgSz w:w="16840" w:h="11907" w:orient="landscape" w:code="9"/>
      <w:pgMar w:top="426" w:right="1134" w:bottom="426" w:left="1134" w:header="567" w:footer="567"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16944" w14:textId="77777777" w:rsidR="002B03E4" w:rsidRPr="00DC66B9" w:rsidRDefault="002B03E4">
    <w:pPr>
      <w:pStyle w:val="Header"/>
      <w:jc w:val="center"/>
      <w:rPr>
        <w:sz w:val="24"/>
        <w:szCs w:val="24"/>
      </w:rPr>
    </w:pPr>
    <w:r w:rsidRPr="00DC66B9">
      <w:rPr>
        <w:sz w:val="24"/>
        <w:szCs w:val="24"/>
      </w:rPr>
      <w:fldChar w:fldCharType="begin"/>
    </w:r>
    <w:r w:rsidRPr="00DC66B9">
      <w:rPr>
        <w:sz w:val="24"/>
        <w:szCs w:val="24"/>
      </w:rPr>
      <w:instrText xml:space="preserve"> PAGE   \* MERGEFORMAT </w:instrText>
    </w:r>
    <w:r w:rsidRPr="00DC66B9">
      <w:rPr>
        <w:sz w:val="24"/>
        <w:szCs w:val="24"/>
      </w:rPr>
      <w:fldChar w:fldCharType="separate"/>
    </w:r>
    <w:r>
      <w:rPr>
        <w:noProof/>
        <w:sz w:val="24"/>
        <w:szCs w:val="24"/>
      </w:rPr>
      <w:t>12</w:t>
    </w:r>
    <w:r w:rsidRPr="00DC66B9">
      <w:rPr>
        <w:noProof/>
        <w:sz w:val="24"/>
        <w:szCs w:val="24"/>
      </w:rPr>
      <w:fldChar w:fldCharType="end"/>
    </w:r>
  </w:p>
  <w:p w14:paraId="424015C4" w14:textId="77777777" w:rsidR="002B03E4" w:rsidRDefault="002B03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3E4"/>
    <w:rsid w:val="002B03E4"/>
    <w:rsid w:val="003A53DD"/>
    <w:rsid w:val="005279F1"/>
    <w:rsid w:val="005B0CBD"/>
    <w:rsid w:val="00E63D08"/>
    <w:rsid w:val="00F6235A"/>
    <w:rsid w:val="00F97CC3"/>
    <w:rsid w:val="00FE50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EF7B5"/>
  <w15:chartTrackingRefBased/>
  <w15:docId w15:val="{E12CF60A-3138-4384-AC40-E94B3B11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3E4"/>
    <w:pPr>
      <w:spacing w:after="0" w:line="240" w:lineRule="auto"/>
    </w:pPr>
    <w:rPr>
      <w:rFonts w:ascii="Times New Roman" w:eastAsia="Times New Roman" w:hAnsi="Times New Roman" w:cs="Times New Roman"/>
      <w:sz w:val="28"/>
      <w:szCs w:val="28"/>
      <w:lang w:val="en-US"/>
      <w14:ligatures w14:val="none"/>
    </w:rPr>
  </w:style>
  <w:style w:type="paragraph" w:styleId="Heading1">
    <w:name w:val="heading 1"/>
    <w:basedOn w:val="Normal"/>
    <w:next w:val="Normal"/>
    <w:link w:val="Heading1Char"/>
    <w:uiPriority w:val="9"/>
    <w:qFormat/>
    <w:rsid w:val="002B03E4"/>
    <w:pPr>
      <w:keepNext/>
      <w:keepLines/>
      <w:spacing w:before="360" w:after="80" w:line="259" w:lineRule="auto"/>
      <w:outlineLvl w:val="0"/>
    </w:pPr>
    <w:rPr>
      <w:rFonts w:asciiTheme="majorHAnsi" w:eastAsiaTheme="majorEastAsia" w:hAnsiTheme="majorHAnsi" w:cstheme="majorBidi"/>
      <w:color w:val="2E74B5" w:themeColor="accent1" w:themeShade="BF"/>
      <w:sz w:val="40"/>
      <w:szCs w:val="40"/>
      <w:lang w:val="vi-VN"/>
      <w14:ligatures w14:val="standardContextual"/>
    </w:rPr>
  </w:style>
  <w:style w:type="paragraph" w:styleId="Heading2">
    <w:name w:val="heading 2"/>
    <w:basedOn w:val="Normal"/>
    <w:next w:val="Normal"/>
    <w:link w:val="Heading2Char"/>
    <w:uiPriority w:val="9"/>
    <w:semiHidden/>
    <w:unhideWhenUsed/>
    <w:qFormat/>
    <w:rsid w:val="002B03E4"/>
    <w:pPr>
      <w:keepNext/>
      <w:keepLines/>
      <w:spacing w:before="160" w:after="80" w:line="259" w:lineRule="auto"/>
      <w:outlineLvl w:val="1"/>
    </w:pPr>
    <w:rPr>
      <w:rFonts w:asciiTheme="majorHAnsi" w:eastAsiaTheme="majorEastAsia" w:hAnsiTheme="majorHAnsi" w:cstheme="majorBidi"/>
      <w:color w:val="2E74B5" w:themeColor="accent1" w:themeShade="BF"/>
      <w:sz w:val="32"/>
      <w:szCs w:val="32"/>
      <w:lang w:val="vi-VN"/>
      <w14:ligatures w14:val="standardContextual"/>
    </w:rPr>
  </w:style>
  <w:style w:type="paragraph" w:styleId="Heading3">
    <w:name w:val="heading 3"/>
    <w:basedOn w:val="Normal"/>
    <w:next w:val="Normal"/>
    <w:link w:val="Heading3Char"/>
    <w:uiPriority w:val="9"/>
    <w:semiHidden/>
    <w:unhideWhenUsed/>
    <w:qFormat/>
    <w:rsid w:val="002B03E4"/>
    <w:pPr>
      <w:keepNext/>
      <w:keepLines/>
      <w:spacing w:before="160" w:after="80" w:line="259" w:lineRule="auto"/>
      <w:outlineLvl w:val="2"/>
    </w:pPr>
    <w:rPr>
      <w:rFonts w:asciiTheme="minorHAnsi" w:eastAsiaTheme="majorEastAsia" w:hAnsiTheme="minorHAnsi" w:cstheme="majorBidi"/>
      <w:color w:val="2E74B5" w:themeColor="accent1" w:themeShade="BF"/>
      <w:lang w:val="vi-VN"/>
      <w14:ligatures w14:val="standardContextual"/>
    </w:rPr>
  </w:style>
  <w:style w:type="paragraph" w:styleId="Heading4">
    <w:name w:val="heading 4"/>
    <w:basedOn w:val="Normal"/>
    <w:next w:val="Normal"/>
    <w:link w:val="Heading4Char"/>
    <w:uiPriority w:val="9"/>
    <w:semiHidden/>
    <w:unhideWhenUsed/>
    <w:qFormat/>
    <w:rsid w:val="002B03E4"/>
    <w:pPr>
      <w:keepNext/>
      <w:keepLines/>
      <w:spacing w:before="80" w:after="40" w:line="259" w:lineRule="auto"/>
      <w:outlineLvl w:val="3"/>
    </w:pPr>
    <w:rPr>
      <w:rFonts w:asciiTheme="minorHAnsi" w:eastAsiaTheme="majorEastAsia" w:hAnsiTheme="minorHAnsi" w:cstheme="majorBidi"/>
      <w:i/>
      <w:iCs/>
      <w:color w:val="2E74B5" w:themeColor="accent1" w:themeShade="BF"/>
      <w:sz w:val="22"/>
      <w:szCs w:val="22"/>
      <w:lang w:val="vi-VN"/>
      <w14:ligatures w14:val="standardContextual"/>
    </w:rPr>
  </w:style>
  <w:style w:type="paragraph" w:styleId="Heading5">
    <w:name w:val="heading 5"/>
    <w:basedOn w:val="Normal"/>
    <w:next w:val="Normal"/>
    <w:link w:val="Heading5Char"/>
    <w:uiPriority w:val="9"/>
    <w:semiHidden/>
    <w:unhideWhenUsed/>
    <w:qFormat/>
    <w:rsid w:val="002B03E4"/>
    <w:pPr>
      <w:keepNext/>
      <w:keepLines/>
      <w:spacing w:before="80" w:after="40" w:line="259" w:lineRule="auto"/>
      <w:outlineLvl w:val="4"/>
    </w:pPr>
    <w:rPr>
      <w:rFonts w:asciiTheme="minorHAnsi" w:eastAsiaTheme="majorEastAsia" w:hAnsiTheme="minorHAnsi" w:cstheme="majorBidi"/>
      <w:color w:val="2E74B5" w:themeColor="accent1" w:themeShade="BF"/>
      <w:sz w:val="22"/>
      <w:szCs w:val="22"/>
      <w:lang w:val="vi-VN"/>
      <w14:ligatures w14:val="standardContextual"/>
    </w:rPr>
  </w:style>
  <w:style w:type="paragraph" w:styleId="Heading6">
    <w:name w:val="heading 6"/>
    <w:basedOn w:val="Normal"/>
    <w:next w:val="Normal"/>
    <w:link w:val="Heading6Char"/>
    <w:uiPriority w:val="9"/>
    <w:semiHidden/>
    <w:unhideWhenUsed/>
    <w:qFormat/>
    <w:rsid w:val="002B03E4"/>
    <w:pPr>
      <w:keepNext/>
      <w:keepLines/>
      <w:spacing w:before="40" w:line="259" w:lineRule="auto"/>
      <w:outlineLvl w:val="5"/>
    </w:pPr>
    <w:rPr>
      <w:rFonts w:asciiTheme="minorHAnsi" w:eastAsiaTheme="majorEastAsia" w:hAnsiTheme="minorHAnsi" w:cstheme="majorBidi"/>
      <w:i/>
      <w:iCs/>
      <w:color w:val="595959" w:themeColor="text1" w:themeTint="A6"/>
      <w:sz w:val="22"/>
      <w:szCs w:val="22"/>
      <w:lang w:val="vi-VN"/>
      <w14:ligatures w14:val="standardContextual"/>
    </w:rPr>
  </w:style>
  <w:style w:type="paragraph" w:styleId="Heading7">
    <w:name w:val="heading 7"/>
    <w:basedOn w:val="Normal"/>
    <w:next w:val="Normal"/>
    <w:link w:val="Heading7Char"/>
    <w:uiPriority w:val="9"/>
    <w:semiHidden/>
    <w:unhideWhenUsed/>
    <w:qFormat/>
    <w:rsid w:val="002B03E4"/>
    <w:pPr>
      <w:keepNext/>
      <w:keepLines/>
      <w:spacing w:before="40" w:line="259" w:lineRule="auto"/>
      <w:outlineLvl w:val="6"/>
    </w:pPr>
    <w:rPr>
      <w:rFonts w:asciiTheme="minorHAnsi" w:eastAsiaTheme="majorEastAsia" w:hAnsiTheme="minorHAnsi" w:cstheme="majorBidi"/>
      <w:color w:val="595959" w:themeColor="text1" w:themeTint="A6"/>
      <w:sz w:val="22"/>
      <w:szCs w:val="22"/>
      <w:lang w:val="vi-VN"/>
      <w14:ligatures w14:val="standardContextual"/>
    </w:rPr>
  </w:style>
  <w:style w:type="paragraph" w:styleId="Heading8">
    <w:name w:val="heading 8"/>
    <w:basedOn w:val="Normal"/>
    <w:next w:val="Normal"/>
    <w:link w:val="Heading8Char"/>
    <w:uiPriority w:val="9"/>
    <w:semiHidden/>
    <w:unhideWhenUsed/>
    <w:qFormat/>
    <w:rsid w:val="002B03E4"/>
    <w:pPr>
      <w:keepNext/>
      <w:keepLines/>
      <w:spacing w:line="259" w:lineRule="auto"/>
      <w:outlineLvl w:val="7"/>
    </w:pPr>
    <w:rPr>
      <w:rFonts w:asciiTheme="minorHAnsi" w:eastAsiaTheme="majorEastAsia" w:hAnsiTheme="minorHAnsi" w:cstheme="majorBidi"/>
      <w:i/>
      <w:iCs/>
      <w:color w:val="272727" w:themeColor="text1" w:themeTint="D8"/>
      <w:sz w:val="22"/>
      <w:szCs w:val="22"/>
      <w:lang w:val="vi-VN"/>
      <w14:ligatures w14:val="standardContextual"/>
    </w:rPr>
  </w:style>
  <w:style w:type="paragraph" w:styleId="Heading9">
    <w:name w:val="heading 9"/>
    <w:basedOn w:val="Normal"/>
    <w:next w:val="Normal"/>
    <w:link w:val="Heading9Char"/>
    <w:uiPriority w:val="9"/>
    <w:semiHidden/>
    <w:unhideWhenUsed/>
    <w:qFormat/>
    <w:rsid w:val="002B03E4"/>
    <w:pPr>
      <w:keepNext/>
      <w:keepLines/>
      <w:spacing w:line="259" w:lineRule="auto"/>
      <w:outlineLvl w:val="8"/>
    </w:pPr>
    <w:rPr>
      <w:rFonts w:asciiTheme="minorHAnsi" w:eastAsiaTheme="majorEastAsia" w:hAnsiTheme="minorHAnsi" w:cstheme="majorBidi"/>
      <w:color w:val="272727" w:themeColor="text1" w:themeTint="D8"/>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3E4"/>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B03E4"/>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B03E4"/>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B03E4"/>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B03E4"/>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B03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3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3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3E4"/>
    <w:rPr>
      <w:rFonts w:eastAsiaTheme="majorEastAsia" w:cstheme="majorBidi"/>
      <w:color w:val="272727" w:themeColor="text1" w:themeTint="D8"/>
    </w:rPr>
  </w:style>
  <w:style w:type="paragraph" w:styleId="Title">
    <w:name w:val="Title"/>
    <w:basedOn w:val="Normal"/>
    <w:next w:val="Normal"/>
    <w:link w:val="TitleChar"/>
    <w:uiPriority w:val="10"/>
    <w:qFormat/>
    <w:rsid w:val="002B03E4"/>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2B0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3E4"/>
    <w:pPr>
      <w:numPr>
        <w:ilvl w:val="1"/>
      </w:numPr>
      <w:spacing w:after="160" w:line="259" w:lineRule="auto"/>
    </w:pPr>
    <w:rPr>
      <w:rFonts w:asciiTheme="minorHAnsi" w:eastAsiaTheme="majorEastAsia" w:hAnsiTheme="minorHAnsi" w:cstheme="majorBidi"/>
      <w:color w:val="595959" w:themeColor="text1" w:themeTint="A6"/>
      <w:spacing w:val="15"/>
      <w:lang w:val="vi-VN"/>
      <w14:ligatures w14:val="standardContextual"/>
    </w:rPr>
  </w:style>
  <w:style w:type="character" w:customStyle="1" w:styleId="SubtitleChar">
    <w:name w:val="Subtitle Char"/>
    <w:basedOn w:val="DefaultParagraphFont"/>
    <w:link w:val="Subtitle"/>
    <w:uiPriority w:val="11"/>
    <w:rsid w:val="002B03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3E4"/>
    <w:pPr>
      <w:spacing w:before="160" w:after="160" w:line="259" w:lineRule="auto"/>
      <w:jc w:val="center"/>
    </w:pPr>
    <w:rPr>
      <w:rFonts w:asciiTheme="minorHAnsi" w:eastAsiaTheme="minorHAnsi" w:hAnsiTheme="minorHAnsi" w:cstheme="minorBidi"/>
      <w:i/>
      <w:iCs/>
      <w:color w:val="404040" w:themeColor="text1" w:themeTint="BF"/>
      <w:sz w:val="22"/>
      <w:szCs w:val="22"/>
      <w:lang w:val="vi-VN"/>
      <w14:ligatures w14:val="standardContextual"/>
    </w:rPr>
  </w:style>
  <w:style w:type="character" w:customStyle="1" w:styleId="QuoteChar">
    <w:name w:val="Quote Char"/>
    <w:basedOn w:val="DefaultParagraphFont"/>
    <w:link w:val="Quote"/>
    <w:uiPriority w:val="29"/>
    <w:rsid w:val="002B03E4"/>
    <w:rPr>
      <w:i/>
      <w:iCs/>
      <w:color w:val="404040" w:themeColor="text1" w:themeTint="BF"/>
    </w:rPr>
  </w:style>
  <w:style w:type="paragraph" w:styleId="ListParagraph">
    <w:name w:val="List Paragraph"/>
    <w:basedOn w:val="Normal"/>
    <w:uiPriority w:val="34"/>
    <w:qFormat/>
    <w:rsid w:val="002B03E4"/>
    <w:pPr>
      <w:spacing w:after="160" w:line="259" w:lineRule="auto"/>
      <w:ind w:left="720"/>
      <w:contextualSpacing/>
    </w:pPr>
    <w:rPr>
      <w:rFonts w:asciiTheme="minorHAnsi" w:eastAsiaTheme="minorHAnsi" w:hAnsiTheme="minorHAnsi" w:cstheme="minorBidi"/>
      <w:sz w:val="22"/>
      <w:szCs w:val="22"/>
      <w:lang w:val="vi-VN"/>
      <w14:ligatures w14:val="standardContextual"/>
    </w:rPr>
  </w:style>
  <w:style w:type="character" w:styleId="IntenseEmphasis">
    <w:name w:val="Intense Emphasis"/>
    <w:basedOn w:val="DefaultParagraphFont"/>
    <w:uiPriority w:val="21"/>
    <w:qFormat/>
    <w:rsid w:val="002B03E4"/>
    <w:rPr>
      <w:i/>
      <w:iCs/>
      <w:color w:val="2E74B5" w:themeColor="accent1" w:themeShade="BF"/>
    </w:rPr>
  </w:style>
  <w:style w:type="paragraph" w:styleId="IntenseQuote">
    <w:name w:val="Intense Quote"/>
    <w:basedOn w:val="Normal"/>
    <w:next w:val="Normal"/>
    <w:link w:val="IntenseQuoteChar"/>
    <w:uiPriority w:val="30"/>
    <w:qFormat/>
    <w:rsid w:val="002B03E4"/>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sz w:val="22"/>
      <w:szCs w:val="22"/>
      <w:lang w:val="vi-VN"/>
      <w14:ligatures w14:val="standardContextual"/>
    </w:rPr>
  </w:style>
  <w:style w:type="character" w:customStyle="1" w:styleId="IntenseQuoteChar">
    <w:name w:val="Intense Quote Char"/>
    <w:basedOn w:val="DefaultParagraphFont"/>
    <w:link w:val="IntenseQuote"/>
    <w:uiPriority w:val="30"/>
    <w:rsid w:val="002B03E4"/>
    <w:rPr>
      <w:i/>
      <w:iCs/>
      <w:color w:val="2E74B5" w:themeColor="accent1" w:themeShade="BF"/>
    </w:rPr>
  </w:style>
  <w:style w:type="character" w:styleId="IntenseReference">
    <w:name w:val="Intense Reference"/>
    <w:basedOn w:val="DefaultParagraphFont"/>
    <w:uiPriority w:val="32"/>
    <w:qFormat/>
    <w:rsid w:val="002B03E4"/>
    <w:rPr>
      <w:b/>
      <w:bCs/>
      <w:smallCaps/>
      <w:color w:val="2E74B5" w:themeColor="accent1" w:themeShade="BF"/>
      <w:spacing w:val="5"/>
    </w:rPr>
  </w:style>
  <w:style w:type="paragraph" w:styleId="NormalWeb">
    <w:name w:val="Normal (Web)"/>
    <w:basedOn w:val="Normal"/>
    <w:uiPriority w:val="99"/>
    <w:unhideWhenUsed/>
    <w:rsid w:val="002B03E4"/>
    <w:pPr>
      <w:spacing w:before="100" w:beforeAutospacing="1" w:after="100" w:afterAutospacing="1"/>
    </w:pPr>
    <w:rPr>
      <w:sz w:val="24"/>
      <w:szCs w:val="24"/>
    </w:rPr>
  </w:style>
  <w:style w:type="paragraph" w:styleId="Header">
    <w:name w:val="header"/>
    <w:basedOn w:val="Normal"/>
    <w:link w:val="HeaderChar"/>
    <w:uiPriority w:val="99"/>
    <w:unhideWhenUsed/>
    <w:rsid w:val="002B03E4"/>
    <w:pPr>
      <w:tabs>
        <w:tab w:val="center" w:pos="4680"/>
        <w:tab w:val="right" w:pos="9360"/>
      </w:tabs>
    </w:pPr>
  </w:style>
  <w:style w:type="character" w:customStyle="1" w:styleId="HeaderChar">
    <w:name w:val="Header Char"/>
    <w:basedOn w:val="DefaultParagraphFont"/>
    <w:link w:val="Header"/>
    <w:uiPriority w:val="99"/>
    <w:rsid w:val="002B03E4"/>
    <w:rPr>
      <w:rFonts w:ascii="Times New Roman" w:eastAsia="Times New Roman" w:hAnsi="Times New Roman" w:cs="Times New Roman"/>
      <w:sz w:val="28"/>
      <w:szCs w:val="28"/>
      <w:lang w:val="en-US"/>
      <w14:ligatures w14:val="none"/>
    </w:rPr>
  </w:style>
  <w:style w:type="character" w:styleId="Hyperlink">
    <w:name w:val="Hyperlink"/>
    <w:basedOn w:val="DefaultParagraphFont"/>
    <w:unhideWhenUsed/>
    <w:rsid w:val="002B03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hyperlink" Target="https://thuvienphapluat.vn/van-ban/bo-may-hanh-chinh/thong-tu-42-2022-tt-btc-sua-doi-thong-tu-338-2016-tt-btc-du-toan-kinh-phi-xay-dung-phap-luat-52240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1484</Words>
  <Characters>8462</Characters>
  <Application>Microsoft Office Word</Application>
  <DocSecurity>0</DocSecurity>
  <Lines>70</Lines>
  <Paragraphs>19</Paragraphs>
  <ScaleCrop>false</ScaleCrop>
  <Company/>
  <LinksUpToDate>false</LinksUpToDate>
  <CharactersWithSpaces>9927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2026-06-11T02:41:00Z</dcterms:created>
  <dcterms:modified xsi:type="dcterms:W3CDTF">2026-06-11T02:43:00Z</dcterms:modified>
</cp:coreProperties>
</file>